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5" w:rsidRDefault="00CF00F5" w:rsidP="00707AFB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Вимоги до реклами лікарських засобів, медичної техніки, методів профілактики, діагностики, лікування і реабілітації:</w:t>
      </w: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Згідно зі «</w:t>
      </w:r>
      <w:r w:rsidRPr="00707AFB">
        <w:rPr>
          <w:rFonts w:eastAsia="Times New Roman" w:cs="Times New Roman"/>
          <w:bCs/>
          <w:color w:val="000000"/>
          <w:szCs w:val="28"/>
          <w:u w:val="single"/>
          <w:lang w:eastAsia="uk-UA"/>
        </w:rPr>
        <w:t>ст. 21 Закону України «Про рекламу»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:</w:t>
      </w:r>
    </w:p>
    <w:p w:rsidR="00707AFB" w:rsidRPr="00707AFB" w:rsidRDefault="00707AFB" w:rsidP="00707A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Реклама лікарських засобів, медичних виробів, методів профілактики, діагностики, лікування і реабілітації повинна містити: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об’єктивну інформацію про лікарський засіб, медичний виріб, метод профілактики, діагностики, лікування, реабілітації і здійснюватися так, щоб було зрозуміло, що наведене повідомлення є рекламою, а рекламований товар є лікарським засобом, медичним виробом, методом профілактики, діагностики, лікування, реабілітації;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вимогу про необхідність консультації з лікарем перед застосуванням лікарського засобу чи медичного виробу;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рекомендацію щодо обов’язкового ознайомлення з інструкцією на лікарський засіб;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текст попередження такого змісту: «Самолікування може бути шкідливим для вашого здоров'я», що займає не менше 15 відсотків площі (тривалості) всієї реклами.</w:t>
      </w:r>
    </w:p>
    <w:p w:rsidR="00707AFB" w:rsidRPr="00707AFB" w:rsidRDefault="00707AFB" w:rsidP="00707A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Реклама лікарських засобів, медичних виробів та методів профілактики, діагностики, лікування і реабілітації не може містити посилань на терапевтичні ефекти стосовно захворювань, які не піддаються або важко піддаються лікуванню.</w:t>
      </w:r>
    </w:p>
    <w:p w:rsidR="00707AFB" w:rsidRPr="00707AFB" w:rsidRDefault="00707AFB" w:rsidP="00707A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У рекламі лікарських засобів, медичних виробів та методів профілактики, діагностики, лікування і реабілітації забороняється розміщення: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відомостей, які можуть справляти враження, що за умови застосування лікарського засобу чи медичного виробу консультація з фахівцем не є необхідною;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відомостей про те, що лікувальний ефект від застосування лікарського засобу чи медичного виробу є гарантованим;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зображень зміни людського тіла або його частин внаслідок хвороби, поранень;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тверджень, що сприяють виникненню або розвитку страху захворіти або погіршити стан свого здоров’я через невикористання лікарських засобів, медичних виробів та медичних послуг, що рекламуються;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тверджень, що сприяють можливості самостійного встановлення діагнозу для хвороб, патологічних станів людини та їх самостійного лікування з використанням медичних товарів, що рекламуються;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посилань на лікарські засоби, медичні вироби, методи профілактики, діагностики, лікування і реабілітації як найбільш ефективні, найбільш безпечні, виняткові щодо відсутності побічних ефектів;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посилань на конкретні випадки вдалого застосування лікарських засобів, медичних виробів, методів профілактики, діагностики, лікування і реабілітації;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рекомендацій або посилань на рекомендації медичних працівників, науковців, медичних закладів та організацій щодо рекламованих товарів чи послуг;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спеціальних виявлень подяки, вдячності, листів, уривків з них із рекомендаціями, розповідями про застосування та результати дії рекламованих товарів чи послуг від окремих осіб;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lastRenderedPageBreak/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зображень і згадок імен популярних людей, героїв 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кіно-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, 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теле-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 та анімаційних фільмів, авторитетних організацій;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інформації, що може вводити споживача в оману щодо складу, походження, ефективності, патентної захищеності товару, що рекламується.</w:t>
      </w:r>
    </w:p>
    <w:p w:rsidR="00707AFB" w:rsidRPr="00707AFB" w:rsidRDefault="00707AFB" w:rsidP="00707A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У рекламі лікарських засобів, медичних виробів та методів профілактики, діагностики, лікування і реабілітації забороняється участь лікарів та інших професійних медичних працівників, а також осіб, зовнішній вигляд яких імітує зовнішній вигляд лікарів.</w:t>
      </w:r>
    </w:p>
    <w:p w:rsidR="00707AFB" w:rsidRPr="00707AFB" w:rsidRDefault="00707AFB" w:rsidP="00707A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Забороняється вміщувати в рекламі лікарських засобів інформацію, яка дозволяє припустити, що лікарський засіб є харчовим, косметичним чи іншим споживчим товаром або що безпечність чи ефективність цього засобу обумовлена його природним походженням.</w:t>
      </w:r>
    </w:p>
    <w:p w:rsidR="00707AFB" w:rsidRPr="00707AFB" w:rsidRDefault="00707AFB" w:rsidP="00707A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У рекламі товарів та методів, що не належать до лікарських засобів, медичних виробів, методів профілактики, діагностики, лікування і реабілітації, а також у рекламі харчових продуктів для спеціального дієтичного споживання, функціональних харчових продуктів та дієтичних добавок забороняється посилатися на те, що вони мають лікувальні властивості.</w:t>
      </w:r>
    </w:p>
    <w:p w:rsidR="00707AFB" w:rsidRPr="00707AFB" w:rsidRDefault="00707AFB" w:rsidP="00707A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Забороняється реклама проведення 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цілительства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 на масову аудиторію.</w:t>
      </w:r>
    </w:p>
    <w:p w:rsidR="00707AFB" w:rsidRPr="00707AFB" w:rsidRDefault="00707AFB" w:rsidP="00707A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Забороняється реклама нових методів профілактики, діагностики, реабілітації та лікарських засобів, які знаходяться на розгляді в установленому порядку, але ще не допущені до застосування.</w:t>
      </w:r>
    </w:p>
    <w:p w:rsidR="00707AFB" w:rsidRPr="00707AFB" w:rsidRDefault="00707AFB" w:rsidP="00707A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Реклама послуг народної медицини (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цілительства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) та осіб, які їх надають, дозволяється лише за наявності відповідного спеціального дозволу на заняття народною медициною (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цілительством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), виданого центральним органом виконавчої влади, що реалізує державну політику у сфері охорони здоров’я, крім реклами на радіо, і повинна містити номер, дату видачі зазначеного дозволу та назву органу, який його видав.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Розповсюдженим порушенням серед рекламодавців, виробників та замовників реклами є використання в рекламі лікарських засобів та медичних закладів таких інструментів: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зображення і участь у рекламі лікарів та інших професійних медичних працівників, а також осіб, зовнішній вигляд яких імітує зовнішній вигляд лікарів;</w:t>
      </w:r>
    </w:p>
    <w:p w:rsidR="00707AFB" w:rsidRPr="00707AFB" w:rsidRDefault="00707AFB" w:rsidP="00707AFB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відсутність тексту попередження «Самолікування може бути шкідливим для вашого здоров'я», що займає не менше 15 відсотків площі (тривалості) всієї реклами.</w:t>
      </w: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707AFB">
      <w:pPr>
        <w:spacing w:after="0" w:line="240" w:lineRule="auto"/>
        <w:ind w:firstLine="567"/>
        <w:jc w:val="center"/>
        <w:rPr>
          <w:b/>
        </w:rPr>
      </w:pPr>
    </w:p>
    <w:p w:rsidR="00707AFB" w:rsidRDefault="00707AFB" w:rsidP="001D1C19">
      <w:pPr>
        <w:spacing w:after="0" w:line="240" w:lineRule="auto"/>
        <w:rPr>
          <w:b/>
        </w:rPr>
      </w:pPr>
    </w:p>
    <w:sectPr w:rsidR="00707AFB" w:rsidSect="00885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9F1"/>
    <w:multiLevelType w:val="multilevel"/>
    <w:tmpl w:val="2FAC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387"/>
    <w:multiLevelType w:val="multilevel"/>
    <w:tmpl w:val="1DE89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41BE"/>
    <w:multiLevelType w:val="multilevel"/>
    <w:tmpl w:val="C0D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C2280"/>
    <w:multiLevelType w:val="multilevel"/>
    <w:tmpl w:val="A4B8D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C3C"/>
    <w:rsid w:val="00023623"/>
    <w:rsid w:val="000B0632"/>
    <w:rsid w:val="00131C22"/>
    <w:rsid w:val="001D1C19"/>
    <w:rsid w:val="0023656E"/>
    <w:rsid w:val="003A1F0D"/>
    <w:rsid w:val="00656501"/>
    <w:rsid w:val="00707AFB"/>
    <w:rsid w:val="0088575D"/>
    <w:rsid w:val="00952919"/>
    <w:rsid w:val="00974B0E"/>
    <w:rsid w:val="00996C3C"/>
    <w:rsid w:val="00B11B8D"/>
    <w:rsid w:val="00C06AF4"/>
    <w:rsid w:val="00CE6B5A"/>
    <w:rsid w:val="00CF00F5"/>
    <w:rsid w:val="00D45964"/>
    <w:rsid w:val="00EE392E"/>
    <w:rsid w:val="00F358C1"/>
    <w:rsid w:val="00F93C64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9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Portyanko</dc:creator>
  <cp:keywords/>
  <dc:description/>
  <cp:lastModifiedBy>User</cp:lastModifiedBy>
  <cp:revision>16</cp:revision>
  <dcterms:created xsi:type="dcterms:W3CDTF">2020-11-03T10:25:00Z</dcterms:created>
  <dcterms:modified xsi:type="dcterms:W3CDTF">2020-11-16T14:39:00Z</dcterms:modified>
</cp:coreProperties>
</file>