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8C4C6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F4780F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9F3883" w:rsidRDefault="009F3883" w:rsidP="009F38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Міська цільова програма </w:t>
            </w:r>
            <w:r w:rsidRPr="009F3883">
              <w:rPr>
                <w:snapToGrid w:val="0"/>
              </w:rPr>
              <w:t xml:space="preserve"> допризовної підготовки</w:t>
            </w:r>
            <w:r>
              <w:rPr>
                <w:snapToGrid w:val="0"/>
              </w:rPr>
              <w:t xml:space="preserve">, виконання заходів з мобілізації та заходів по облаштуванню і утриманню полігону для проведення навчань, підготовки та перепідготовки громадян України на строкову службу за контрактом, зборів особового складу роти охорони та батальйонів </w:t>
            </w:r>
            <w:proofErr w:type="spellStart"/>
            <w:r>
              <w:rPr>
                <w:snapToGrid w:val="0"/>
              </w:rPr>
              <w:t>ТрО</w:t>
            </w:r>
            <w:proofErr w:type="spellEnd"/>
            <w:r>
              <w:rPr>
                <w:snapToGrid w:val="0"/>
              </w:rPr>
              <w:t xml:space="preserve"> міста Ніжина у 2019-2020роках</w:t>
            </w:r>
          </w:p>
          <w:p w:rsidR="00F302CA" w:rsidRPr="005B2CFE" w:rsidRDefault="009F3883" w:rsidP="009F3883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u w:val="single"/>
              </w:rPr>
              <w:t xml:space="preserve"> ,</w:t>
            </w:r>
            <w:r w:rsidR="00F302CA"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="00F302CA" w:rsidRPr="005B2CFE">
              <w:rPr>
                <w:color w:val="0070C0"/>
                <w:u w:val="single"/>
                <w:lang w:val="en-US"/>
              </w:rPr>
              <w:t>VII</w:t>
            </w:r>
            <w:r w:rsidR="00F302CA" w:rsidRPr="005B2CFE">
              <w:rPr>
                <w:color w:val="0070C0"/>
                <w:u w:val="single"/>
              </w:rPr>
              <w:t xml:space="preserve"> скликання, сесії №</w:t>
            </w:r>
            <w:r w:rsidR="009E1F0D">
              <w:rPr>
                <w:color w:val="0070C0"/>
                <w:u w:val="single"/>
              </w:rPr>
              <w:t>6-50</w:t>
            </w:r>
            <w:r w:rsidR="00F302CA">
              <w:rPr>
                <w:color w:val="0070C0"/>
                <w:u w:val="single"/>
              </w:rPr>
              <w:t xml:space="preserve">/2019 від  </w:t>
            </w:r>
            <w:r w:rsidR="006C2B77">
              <w:rPr>
                <w:color w:val="0070C0"/>
                <w:u w:val="single"/>
              </w:rPr>
              <w:t>16 січня</w:t>
            </w:r>
            <w:r w:rsidR="00F302CA" w:rsidRPr="005B2CFE">
              <w:rPr>
                <w:color w:val="0070C0"/>
                <w:u w:val="single"/>
              </w:rPr>
              <w:t xml:space="preserve"> 2019 р.</w:t>
            </w:r>
            <w:r w:rsidR="009E1F0D">
              <w:rPr>
                <w:color w:val="0070C0"/>
                <w:u w:val="single"/>
              </w:rPr>
              <w:t xml:space="preserve">, зі змінами </w:t>
            </w:r>
            <w:r w:rsidR="006C2B77">
              <w:rPr>
                <w:color w:val="0070C0"/>
                <w:u w:val="single"/>
              </w:rPr>
              <w:t>затверджені рішенням сесії  №6-52/2019 від 27.02.2019р.,№3-58/2019 від 07.08.2019р. №4-62/2019 від 23.10.2019р.,№3-63/2019 від 27.11.2019р.,№9-66/2020 від 23.01.2020р.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512924,00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512924,00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A2316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446482,43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446482,43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66441,57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F4780F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66441,57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40000E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EE0123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Економія коштів в зв’язку з вакантною посадою</w:t>
            </w:r>
          </w:p>
        </w:tc>
      </w:tr>
    </w:tbl>
    <w:p w:rsidR="00361618" w:rsidRPr="0007369A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9F35D1" w:rsidRDefault="009E2DF7" w:rsidP="009F35D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BB6CF6" w:rsidRPr="00F14A4A" w:rsidRDefault="00797661" w:rsidP="00607C3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МЦП допризо</w:t>
            </w:r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 xml:space="preserve">вної підготовки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в частині утримання полігону по вул..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Бобрицька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23 </w:t>
            </w:r>
            <w:proofErr w:type="spellStart"/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>КП</w:t>
            </w:r>
            <w:proofErr w:type="spellEnd"/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 xml:space="preserve"> "Північна"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8C4C63" w:rsidRDefault="008C4C6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8C4C63">
              <w:rPr>
                <w:sz w:val="20"/>
                <w:szCs w:val="20"/>
                <w:lang w:val="ru-RU"/>
              </w:rPr>
              <w:t>487924,00</w:t>
            </w:r>
          </w:p>
        </w:tc>
        <w:tc>
          <w:tcPr>
            <w:tcW w:w="2710" w:type="dxa"/>
            <w:vAlign w:val="center"/>
          </w:tcPr>
          <w:p w:rsidR="00BB6CF6" w:rsidRPr="008C4C63" w:rsidRDefault="00EE012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446482,43</w:t>
            </w:r>
          </w:p>
        </w:tc>
        <w:tc>
          <w:tcPr>
            <w:tcW w:w="6601" w:type="dxa"/>
            <w:vAlign w:val="center"/>
          </w:tcPr>
          <w:p w:rsidR="00F4780F" w:rsidRPr="009A25A8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 утримання полігону було використано кошти на</w:t>
            </w:r>
            <w:r>
              <w:rPr>
                <w:snapToGrid w:val="0"/>
                <w:sz w:val="20"/>
                <w:szCs w:val="20"/>
              </w:rPr>
              <w:t xml:space="preserve"> заробітну плату за січень-грудень 5 чол. на суму-365214,92грн </w:t>
            </w:r>
          </w:p>
          <w:p w:rsidR="00F4780F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Нарахування на заробітну плату-</w:t>
            </w:r>
            <w:r>
              <w:rPr>
                <w:snapToGrid w:val="0"/>
                <w:sz w:val="20"/>
                <w:szCs w:val="20"/>
              </w:rPr>
              <w:t>62685,14</w:t>
            </w:r>
            <w:r w:rsidRPr="009A25A8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F4780F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Освітлення( електроенергія)- 9698,17 грн.</w:t>
            </w:r>
          </w:p>
          <w:p w:rsidR="00F4780F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бензину -2293,20 грн.</w:t>
            </w:r>
          </w:p>
          <w:p w:rsidR="00F4780F" w:rsidRPr="009A25A8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на землю -6591 грн.</w:t>
            </w:r>
          </w:p>
          <w:p w:rsidR="00F4780F" w:rsidRPr="009A25A8" w:rsidRDefault="00F4780F" w:rsidP="00F4780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</w:p>
          <w:p w:rsidR="00F4780F" w:rsidRPr="009A25A8" w:rsidRDefault="00F4780F" w:rsidP="00F4780F">
            <w:pPr>
              <w:pStyle w:val="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</w:t>
            </w:r>
            <w:r w:rsidRPr="009A25A8">
              <w:rPr>
                <w:b w:val="0"/>
                <w:sz w:val="20"/>
                <w:szCs w:val="20"/>
              </w:rPr>
              <w:t>иконання програми дасть</w:t>
            </w:r>
            <w:r>
              <w:rPr>
                <w:b w:val="0"/>
                <w:sz w:val="20"/>
                <w:szCs w:val="20"/>
              </w:rPr>
              <w:t>, що</w:t>
            </w:r>
            <w:r w:rsidRPr="009A25A8">
              <w:rPr>
                <w:b w:val="0"/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</w:t>
            </w:r>
            <w:r w:rsidRPr="009A25A8">
              <w:rPr>
                <w:sz w:val="20"/>
                <w:szCs w:val="20"/>
              </w:rPr>
              <w:t>.</w:t>
            </w:r>
          </w:p>
          <w:p w:rsidR="00F4780F" w:rsidRPr="009A25A8" w:rsidRDefault="00F4780F" w:rsidP="00F4780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F4780F" w:rsidRPr="00F75258" w:rsidRDefault="00F4780F" w:rsidP="00F4780F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BB6CF6" w:rsidRPr="003A2316" w:rsidRDefault="00BB6CF6" w:rsidP="00F4780F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9E2DF7" w:rsidRDefault="00F4780F" w:rsidP="00F4780F">
      <w:pPr>
        <w:pStyle w:val="21"/>
        <w:tabs>
          <w:tab w:val="left" w:pos="11277"/>
        </w:tabs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ab/>
      </w: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06" w:rsidRDefault="00784E06" w:rsidP="001C199B">
      <w:r>
        <w:separator/>
      </w:r>
    </w:p>
  </w:endnote>
  <w:endnote w:type="continuationSeparator" w:id="0">
    <w:p w:rsidR="00784E06" w:rsidRDefault="00784E0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475A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475A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E0123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06" w:rsidRDefault="00784E06" w:rsidP="001C199B">
      <w:r>
        <w:separator/>
      </w:r>
    </w:p>
  </w:footnote>
  <w:footnote w:type="continuationSeparator" w:id="0">
    <w:p w:rsidR="00784E06" w:rsidRDefault="00784E0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104D9"/>
    <w:rsid w:val="0001510B"/>
    <w:rsid w:val="000475A0"/>
    <w:rsid w:val="000503EB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427F9"/>
    <w:rsid w:val="00154815"/>
    <w:rsid w:val="00156A68"/>
    <w:rsid w:val="00175968"/>
    <w:rsid w:val="00197E75"/>
    <w:rsid w:val="001B1A2C"/>
    <w:rsid w:val="001B3025"/>
    <w:rsid w:val="001C199B"/>
    <w:rsid w:val="001C2336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317E05"/>
    <w:rsid w:val="00322654"/>
    <w:rsid w:val="00330475"/>
    <w:rsid w:val="003334FD"/>
    <w:rsid w:val="0035713B"/>
    <w:rsid w:val="00361618"/>
    <w:rsid w:val="003923D6"/>
    <w:rsid w:val="003A2316"/>
    <w:rsid w:val="003C4E95"/>
    <w:rsid w:val="003E2BB0"/>
    <w:rsid w:val="003E65F4"/>
    <w:rsid w:val="0040000E"/>
    <w:rsid w:val="00403999"/>
    <w:rsid w:val="00413514"/>
    <w:rsid w:val="00460D1C"/>
    <w:rsid w:val="00467432"/>
    <w:rsid w:val="00476D3F"/>
    <w:rsid w:val="004854E8"/>
    <w:rsid w:val="004958F8"/>
    <w:rsid w:val="004B3927"/>
    <w:rsid w:val="004C555A"/>
    <w:rsid w:val="004E35E9"/>
    <w:rsid w:val="00504DF0"/>
    <w:rsid w:val="0051694F"/>
    <w:rsid w:val="0052341C"/>
    <w:rsid w:val="0053016E"/>
    <w:rsid w:val="005342B2"/>
    <w:rsid w:val="00594318"/>
    <w:rsid w:val="005B5A47"/>
    <w:rsid w:val="005D267A"/>
    <w:rsid w:val="005D3C64"/>
    <w:rsid w:val="005D579D"/>
    <w:rsid w:val="005F234B"/>
    <w:rsid w:val="00602BE0"/>
    <w:rsid w:val="00607C34"/>
    <w:rsid w:val="0062402E"/>
    <w:rsid w:val="00624C72"/>
    <w:rsid w:val="00673B7D"/>
    <w:rsid w:val="00675924"/>
    <w:rsid w:val="00684704"/>
    <w:rsid w:val="006A5081"/>
    <w:rsid w:val="006B2B1F"/>
    <w:rsid w:val="006C2B77"/>
    <w:rsid w:val="00722759"/>
    <w:rsid w:val="007413F5"/>
    <w:rsid w:val="00753474"/>
    <w:rsid w:val="00766750"/>
    <w:rsid w:val="007668C3"/>
    <w:rsid w:val="0078315B"/>
    <w:rsid w:val="00784E06"/>
    <w:rsid w:val="00790D5B"/>
    <w:rsid w:val="007916B6"/>
    <w:rsid w:val="00797661"/>
    <w:rsid w:val="007B37CF"/>
    <w:rsid w:val="007B7417"/>
    <w:rsid w:val="007D6CD6"/>
    <w:rsid w:val="00811D23"/>
    <w:rsid w:val="00850EAB"/>
    <w:rsid w:val="008638B8"/>
    <w:rsid w:val="00873BE2"/>
    <w:rsid w:val="008A01E3"/>
    <w:rsid w:val="008B274D"/>
    <w:rsid w:val="008C07AE"/>
    <w:rsid w:val="008C1485"/>
    <w:rsid w:val="008C4C63"/>
    <w:rsid w:val="008D1D9B"/>
    <w:rsid w:val="008E391C"/>
    <w:rsid w:val="0090019F"/>
    <w:rsid w:val="009039F4"/>
    <w:rsid w:val="00981B94"/>
    <w:rsid w:val="009C674F"/>
    <w:rsid w:val="009C7B86"/>
    <w:rsid w:val="009D0003"/>
    <w:rsid w:val="009E1F0D"/>
    <w:rsid w:val="009E2DF7"/>
    <w:rsid w:val="009E7BFB"/>
    <w:rsid w:val="009F05B2"/>
    <w:rsid w:val="009F35D1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C6B5D"/>
    <w:rsid w:val="00AE13B8"/>
    <w:rsid w:val="00AF6122"/>
    <w:rsid w:val="00B07C35"/>
    <w:rsid w:val="00B1256D"/>
    <w:rsid w:val="00B67EB5"/>
    <w:rsid w:val="00B75AF8"/>
    <w:rsid w:val="00B763A9"/>
    <w:rsid w:val="00B77586"/>
    <w:rsid w:val="00B91BF6"/>
    <w:rsid w:val="00B92BF6"/>
    <w:rsid w:val="00BA4548"/>
    <w:rsid w:val="00BB6CF6"/>
    <w:rsid w:val="00BC1779"/>
    <w:rsid w:val="00BC33B4"/>
    <w:rsid w:val="00BC5AED"/>
    <w:rsid w:val="00BE3908"/>
    <w:rsid w:val="00C155AC"/>
    <w:rsid w:val="00C56323"/>
    <w:rsid w:val="00C60E3A"/>
    <w:rsid w:val="00C71E4B"/>
    <w:rsid w:val="00CA0931"/>
    <w:rsid w:val="00CA0A9A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DF1D66"/>
    <w:rsid w:val="00E0293E"/>
    <w:rsid w:val="00E234C3"/>
    <w:rsid w:val="00E56BAD"/>
    <w:rsid w:val="00E72387"/>
    <w:rsid w:val="00E86E55"/>
    <w:rsid w:val="00E95DB7"/>
    <w:rsid w:val="00ED490C"/>
    <w:rsid w:val="00ED5A90"/>
    <w:rsid w:val="00EE0123"/>
    <w:rsid w:val="00EF153C"/>
    <w:rsid w:val="00F14A4A"/>
    <w:rsid w:val="00F302CA"/>
    <w:rsid w:val="00F3066A"/>
    <w:rsid w:val="00F3773C"/>
    <w:rsid w:val="00F4780F"/>
    <w:rsid w:val="00F51F9C"/>
    <w:rsid w:val="00F527A9"/>
    <w:rsid w:val="00FA42C5"/>
    <w:rsid w:val="00FB3E33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F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FD5-B6EC-42A9-A8D6-5180A19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2021-01-12T07:15:00Z</cp:lastPrinted>
  <dcterms:created xsi:type="dcterms:W3CDTF">2020-04-06T11:10:00Z</dcterms:created>
  <dcterms:modified xsi:type="dcterms:W3CDTF">2021-01-12T07:16:00Z</dcterms:modified>
</cp:coreProperties>
</file>