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C63" w:rsidRPr="004E0BCA" w:rsidRDefault="00C92C63" w:rsidP="003D679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3D67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A58FD7" wp14:editId="438BF19D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C92C63" w:rsidRDefault="00C92C63" w:rsidP="00C5173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</w:p>
    <w:p w:rsidR="00C92C63" w:rsidRPr="00CD5AC2" w:rsidRDefault="00C92C63" w:rsidP="00C5173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</w:p>
    <w:p w:rsidR="00C92C63" w:rsidRPr="00CD5AC2" w:rsidRDefault="00C92C63" w:rsidP="00C5173F">
      <w:pPr>
        <w:tabs>
          <w:tab w:val="center" w:pos="4677"/>
          <w:tab w:val="left" w:pos="7635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2C63" w:rsidRPr="00CD5AC2" w:rsidRDefault="00C92C63" w:rsidP="00C5173F">
      <w:pPr>
        <w:tabs>
          <w:tab w:val="center" w:pos="4677"/>
          <w:tab w:val="left" w:pos="7635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92C63" w:rsidRPr="00CD5AC2" w:rsidRDefault="003D6793" w:rsidP="00C5173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45</w:t>
      </w:r>
      <w:r w:rsidR="00C92C63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92C63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C92C63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C92C63"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C92C63"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C92C63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C92C63"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92C63" w:rsidRPr="00CD5AC2" w:rsidRDefault="00C92C63" w:rsidP="00C5173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C63" w:rsidRPr="00CD5AC2" w:rsidRDefault="003D679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березня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2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72-45/2025</w:t>
      </w:r>
    </w:p>
    <w:p w:rsidR="00C92C63" w:rsidRPr="00CD5AC2" w:rsidRDefault="00C92C63" w:rsidP="00C5173F">
      <w:pPr>
        <w:spacing w:after="160" w:line="240" w:lineRule="auto"/>
        <w:ind w:right="-284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92C63" w:rsidRPr="00CD5AC2" w:rsidTr="00C5173F">
        <w:trPr>
          <w:trHeight w:val="1710"/>
        </w:trPr>
        <w:tc>
          <w:tcPr>
            <w:tcW w:w="4928" w:type="dxa"/>
            <w:hideMark/>
          </w:tcPr>
          <w:p w:rsidR="00C92C63" w:rsidRPr="00CD5AC2" w:rsidRDefault="00C92C63" w:rsidP="00C5173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Про дострокове припинення Договору оренди нерухомого майна, що належить до комунальної власності територіальної громади </w:t>
            </w:r>
            <w:r w:rsidR="004A7C97">
              <w:rPr>
                <w:rFonts w:ascii="Times New Roman" w:eastAsia="Calibri" w:hAnsi="Times New Roman" w:cs="Times New Roman"/>
                <w:sz w:val="28"/>
              </w:rPr>
              <w:t>міста Ніжина № 309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>від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4A7C97">
              <w:rPr>
                <w:rFonts w:ascii="Times New Roman" w:eastAsia="Calibri" w:hAnsi="Times New Roman" w:cs="Times New Roman"/>
                <w:sz w:val="28"/>
              </w:rPr>
              <w:t>10 грудня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</w:t>
            </w:r>
            <w:r w:rsidR="004A7C97">
              <w:rPr>
                <w:rFonts w:ascii="Times New Roman" w:eastAsia="Calibri" w:hAnsi="Times New Roman" w:cs="Times New Roman"/>
                <w:sz w:val="28"/>
              </w:rPr>
              <w:t>19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:rsidR="00C92C63" w:rsidRDefault="00C92C63" w:rsidP="00C517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 w:rsidR="00C51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C51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медичного закладу «Обласний центр медико-соціальної експертизи» Чернігівської обласної ради від 17 лютого 2025 року                             № 06-20/127/1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C92C63" w:rsidRDefault="00C92C63" w:rsidP="00C5173F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 </w:t>
      </w:r>
      <w:r w:rsidR="00C5173F" w:rsidRPr="00C5173F">
        <w:rPr>
          <w:rFonts w:ascii="Times New Roman" w:eastAsia="Calibri" w:hAnsi="Times New Roman" w:cs="Times New Roman"/>
          <w:sz w:val="28"/>
          <w:lang w:val="uk-UA"/>
        </w:rPr>
        <w:t>Догов</w:t>
      </w:r>
      <w:r w:rsidR="00C5173F">
        <w:rPr>
          <w:rFonts w:ascii="Times New Roman" w:eastAsia="Calibri" w:hAnsi="Times New Roman" w:cs="Times New Roman"/>
          <w:sz w:val="28"/>
          <w:lang w:val="uk-UA"/>
        </w:rPr>
        <w:t>ір</w:t>
      </w:r>
      <w:r w:rsidR="00C5173F" w:rsidRPr="00C5173F">
        <w:rPr>
          <w:rFonts w:ascii="Times New Roman" w:eastAsia="Calibri" w:hAnsi="Times New Roman" w:cs="Times New Roman"/>
          <w:sz w:val="28"/>
          <w:lang w:val="uk-UA"/>
        </w:rPr>
        <w:t xml:space="preserve"> оренди нерухомого майна, що належить до комунальної власності територіальної громади міста Ніжина № 309 від 10 грудня 2019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на нежитлов</w:t>
      </w:r>
      <w:r w:rsidR="00C5173F">
        <w:rPr>
          <w:rFonts w:ascii="Times New Roman" w:eastAsia="Calibri" w:hAnsi="Times New Roman" w:cs="Times New Roman"/>
          <w:sz w:val="28"/>
          <w:szCs w:val="28"/>
          <w:lang w:val="uk-UA"/>
        </w:rPr>
        <w:t>і приміщення, загальною площею 93,24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за адресою: Чернігівська область, місто Ніжин, вулиця </w:t>
      </w:r>
      <w:r w:rsidR="00C5173F">
        <w:rPr>
          <w:rFonts w:ascii="Times New Roman" w:eastAsia="Calibri" w:hAnsi="Times New Roman" w:cs="Times New Roman"/>
          <w:sz w:val="28"/>
          <w:szCs w:val="28"/>
          <w:lang w:val="uk-UA"/>
        </w:rPr>
        <w:t>Успенська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</w:t>
      </w:r>
      <w:r w:rsidR="00C5173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1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укладеного з </w:t>
      </w:r>
      <w:r w:rsidR="00C517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комунальним медичним закладом «Обласний центр медико-соціальної експертизи» Чернігівської обласної ради,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сторін.</w:t>
      </w:r>
    </w:p>
    <w:p w:rsidR="00C92C63" w:rsidRDefault="00C5173F" w:rsidP="00C5173F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92C63"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92C63"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 та Орендарю</w:t>
      </w:r>
      <w:r w:rsidR="00C92C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C63"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 157-XI,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майна».</w:t>
      </w:r>
    </w:p>
    <w:p w:rsidR="00C92C63" w:rsidRPr="00CD5AC2" w:rsidRDefault="00C5173F" w:rsidP="00C517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Чернеті</w:t>
      </w:r>
      <w:proofErr w:type="spellEnd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C5173F" w:rsidRDefault="00C5173F" w:rsidP="00C517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 w:rsidR="00C92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некомерційного підприємства </w:t>
      </w:r>
      <w:r w:rsidR="00C92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Ніжинський міський центр первинної медико-санітарної допомоги» </w:t>
      </w:r>
      <w:r w:rsidR="00C92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Калініченко</w:t>
      </w:r>
      <w:r w:rsidR="00D20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</w:p>
    <w:p w:rsidR="00C92C63" w:rsidRPr="00CD5AC2" w:rsidRDefault="00C5173F" w:rsidP="00C5173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C92C63"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:rsidR="00C92C63" w:rsidRPr="00CD5AC2" w:rsidRDefault="00C92C63" w:rsidP="00C5173F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20599" w:rsidRDefault="00D20599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2C63" w:rsidRPr="00CD5AC2" w:rsidRDefault="003D679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7939999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C92C63" w:rsidRPr="00CD5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C92C63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C92C63" w:rsidRPr="00CD5AC2" w:rsidRDefault="00C92C63" w:rsidP="00C5173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:rsidR="00C92C63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2C63" w:rsidRPr="00CD5AC2" w:rsidRDefault="00C92C63" w:rsidP="00C5173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GoBack"/>
      <w:bookmarkEnd w:id="0"/>
      <w:bookmarkEnd w:id="1"/>
    </w:p>
    <w:sectPr w:rsidR="00C92C63" w:rsidRPr="00CD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63"/>
    <w:rsid w:val="003D6793"/>
    <w:rsid w:val="004A7C97"/>
    <w:rsid w:val="00656B7F"/>
    <w:rsid w:val="00656F29"/>
    <w:rsid w:val="00737310"/>
    <w:rsid w:val="00975DDF"/>
    <w:rsid w:val="00C5173F"/>
    <w:rsid w:val="00C92C63"/>
    <w:rsid w:val="00D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4E46"/>
  <w15:docId w15:val="{31744011-7CAB-40C0-AEEC-B973E54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C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2025-02-26T11:57:00Z</cp:lastPrinted>
  <dcterms:created xsi:type="dcterms:W3CDTF">2025-03-12T08:12:00Z</dcterms:created>
  <dcterms:modified xsi:type="dcterms:W3CDTF">2025-03-12T08:15:00Z</dcterms:modified>
</cp:coreProperties>
</file>