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63DB" w14:textId="77777777" w:rsidR="009C56AE" w:rsidRPr="009C56AE" w:rsidRDefault="009C56AE" w:rsidP="009C5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56AE">
        <w:rPr>
          <w:rFonts w:ascii="Tms Rmn" w:eastAsia="Times New Roman" w:hAnsi="Tms Rm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816FEF" wp14:editId="56B00C20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6AE">
        <w:rPr>
          <w:rFonts w:ascii="Calibri" w:eastAsia="Times New Roman" w:hAnsi="Calibri" w:cs="Times New Roman"/>
          <w:sz w:val="28"/>
          <w:szCs w:val="28"/>
          <w:lang w:val="uk-UA" w:eastAsia="ru-RU"/>
        </w:rPr>
        <w:br w:type="textWrapping" w:clear="all"/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C74A373" w14:textId="77777777" w:rsidR="009C56AE" w:rsidRPr="009C56AE" w:rsidRDefault="009C56AE" w:rsidP="009C56AE">
      <w:pPr>
        <w:spacing w:after="0" w:line="276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C5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1AF32EA" w14:textId="77777777"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941276D" w14:textId="77777777"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3927A83" w14:textId="77777777" w:rsidR="009C56AE" w:rsidRPr="009C56AE" w:rsidRDefault="009C56AE" w:rsidP="009C5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C56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25729503" w14:textId="732B733B" w:rsidR="009C56AE" w:rsidRPr="001A49A1" w:rsidRDefault="001A49A1" w:rsidP="00B92CF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lang w:val="uk-UA" w:eastAsia="ru-RU"/>
        </w:rPr>
      </w:pPr>
      <w:r w:rsidRPr="001A49A1">
        <w:rPr>
          <w:rFonts w:ascii="Times New Roman" w:eastAsia="Times New Roman" w:hAnsi="Times New Roman" w:cs="Times New Roman"/>
          <w:sz w:val="32"/>
          <w:lang w:val="uk-UA" w:eastAsia="ru-RU"/>
        </w:rPr>
        <w:t xml:space="preserve">         Сорок восьма </w:t>
      </w:r>
      <w:r w:rsidR="009C56AE" w:rsidRPr="001A49A1">
        <w:rPr>
          <w:rFonts w:ascii="Times New Roman" w:eastAsia="Times New Roman" w:hAnsi="Times New Roman" w:cs="Times New Roman"/>
          <w:sz w:val="32"/>
          <w:lang w:val="uk-UA" w:eastAsia="ru-RU"/>
        </w:rPr>
        <w:t>сесія VIІI скликання</w:t>
      </w:r>
    </w:p>
    <w:p w14:paraId="37CB4804" w14:textId="77777777" w:rsidR="009C56AE" w:rsidRPr="001A49A1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969693" w14:textId="77777777"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5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C5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C5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81B4612" w14:textId="77777777" w:rsidR="00EC100A" w:rsidRPr="00E10F3B" w:rsidRDefault="00EC100A" w:rsidP="00EC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99693" w14:textId="4D5D9C9A" w:rsidR="001A49A1" w:rsidRDefault="001A49A1" w:rsidP="001A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липня</w:t>
      </w:r>
      <w:r w:rsidR="00F46E73" w:rsidRPr="008D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6E73" w:rsidRPr="008D0A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EC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м. Ніжин</w:t>
      </w:r>
      <w:r w:rsidR="00EC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EC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46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4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19-48/2025</w:t>
      </w:r>
    </w:p>
    <w:p w14:paraId="717A1F4A" w14:textId="126DC134" w:rsidR="00EC100A" w:rsidRPr="00E10F3B" w:rsidRDefault="00EC100A" w:rsidP="001A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EC100A" w:rsidRPr="00E10F3B" w14:paraId="4A496269" w14:textId="77777777" w:rsidTr="009C2FF2">
        <w:trPr>
          <w:trHeight w:val="545"/>
        </w:trPr>
        <w:tc>
          <w:tcPr>
            <w:tcW w:w="7188" w:type="dxa"/>
          </w:tcPr>
          <w:p w14:paraId="750F43AE" w14:textId="77777777" w:rsidR="00EC100A" w:rsidRPr="00F46E73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надання дозволу Ніжинському</w:t>
            </w:r>
          </w:p>
          <w:p w14:paraId="65A45655" w14:textId="77777777" w:rsidR="00EC100A" w:rsidRPr="00F46E73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міському Будинку культури</w:t>
            </w:r>
          </w:p>
          <w:p w14:paraId="6C90D8E9" w14:textId="77777777" w:rsidR="00EC100A" w:rsidRPr="00F46E73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14:paraId="0BDE6147" w14:textId="77777777" w:rsidR="00EC100A" w:rsidRPr="00F46E73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14:paraId="6D46935E" w14:textId="77777777" w:rsidR="00EC100A" w:rsidRPr="00F46E73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6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основних засобів з балансу </w:t>
            </w:r>
          </w:p>
          <w:p w14:paraId="47906E4A" w14:textId="77777777" w:rsidR="00EC100A" w:rsidRPr="00E10F3B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14:paraId="0AE3F184" w14:textId="77777777" w:rsidR="00EC100A" w:rsidRPr="00E10F3B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B50641" w14:textId="77777777" w:rsidR="00EC100A" w:rsidRPr="00E10F3B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BDD961" w14:textId="77777777" w:rsidR="00EC100A" w:rsidRPr="00E10F3B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C513FDD" w14:textId="1025462C" w:rsidR="00EC100A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12-24/2012, та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щодо списання основних засобів, Ніжинська міська рада вирішила:</w:t>
      </w:r>
    </w:p>
    <w:p w14:paraId="0101CE25" w14:textId="77777777" w:rsidR="002F6590" w:rsidRPr="00E10F3B" w:rsidRDefault="002F6590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0C0CCD" w14:textId="77777777" w:rsidR="0069623A" w:rsidRDefault="00EC100A" w:rsidP="009C2FF2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Дозволити Ніжинському міському Будинку культури Ніжинської</w:t>
      </w:r>
      <w:r w:rsid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D53F6B4" w14:textId="194398C0" w:rsidR="00EC100A" w:rsidRDefault="00EC100A" w:rsidP="0069623A">
      <w:pPr>
        <w:spacing w:after="0" w:line="240" w:lineRule="auto"/>
        <w:jc w:val="both"/>
        <w:rPr>
          <w:lang w:val="uk-UA"/>
        </w:rPr>
      </w:pP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Чернігівської області</w:t>
      </w:r>
      <w:r w:rsidR="002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(Литвинець І.П.)</w:t>
      </w: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списання основних засобів </w:t>
      </w:r>
      <w:r w:rsidR="00E04609" w:rsidRPr="00E04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E04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балансу </w:t>
      </w: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фізичною зношеністю, недоцільністю ремонту та таких, що неприд</w:t>
      </w:r>
      <w:r w:rsidR="00E04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атні для використання</w:t>
      </w: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  <w:r w:rsidRPr="0069623A">
        <w:rPr>
          <w:lang w:val="uk-UA"/>
        </w:rPr>
        <w:t xml:space="preserve"> 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910"/>
        <w:gridCol w:w="959"/>
        <w:gridCol w:w="1431"/>
        <w:gridCol w:w="872"/>
        <w:gridCol w:w="1444"/>
        <w:gridCol w:w="1390"/>
        <w:gridCol w:w="1216"/>
      </w:tblGrid>
      <w:tr w:rsidR="005F0173" w:rsidRPr="008D0AF3" w14:paraId="4CB879C0" w14:textId="77777777" w:rsidTr="005F0173">
        <w:trPr>
          <w:gridAfter w:val="7"/>
          <w:wAfter w:w="4854" w:type="pct"/>
        </w:trPr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B654" w14:textId="77777777" w:rsidR="005F0173" w:rsidRPr="005F0173" w:rsidRDefault="005F0173" w:rsidP="005F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F0173" w:rsidRPr="005F0173" w14:paraId="3DA7639A" w14:textId="77777777" w:rsidTr="005F0173"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8E4B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  <w:p w14:paraId="5B16C164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F39F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Назва інвентарного об’єкта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C984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Рік випуску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B3FC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Інвентар-</w:t>
            </w:r>
          </w:p>
          <w:p w14:paraId="5F7F74A8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ний (</w:t>
            </w:r>
            <w:proofErr w:type="spellStart"/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номенклату-рний</w:t>
            </w:r>
            <w:proofErr w:type="spellEnd"/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2E05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proofErr w:type="spellStart"/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Кількі-сть</w:t>
            </w:r>
            <w:proofErr w:type="spellEnd"/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, шт.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3941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Первісна (переоцінена) вартість, гривень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385F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Сума нарахування зносу,</w:t>
            </w:r>
          </w:p>
          <w:p w14:paraId="7A557278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гривень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5D41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Балансова залишкова </w:t>
            </w:r>
            <w:proofErr w:type="spellStart"/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вартісь</w:t>
            </w:r>
            <w:proofErr w:type="spellEnd"/>
            <w:r w:rsidRPr="005F0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, гривень</w:t>
            </w:r>
          </w:p>
        </w:tc>
      </w:tr>
      <w:tr w:rsidR="005F0173" w:rsidRPr="005F0173" w14:paraId="24F1007E" w14:textId="77777777" w:rsidTr="00BE194D">
        <w:trPr>
          <w:trHeight w:val="246"/>
        </w:trPr>
        <w:tc>
          <w:tcPr>
            <w:tcW w:w="1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CE61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  <w:p w14:paraId="228E4B5D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E662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Баян «</w:t>
            </w:r>
            <w:proofErr w:type="spellStart"/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Вельтмейстер</w:t>
            </w:r>
            <w:proofErr w:type="spellEnd"/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0EE7" w14:textId="41488269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1982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6A77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10493121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3A0F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41B1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256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,00</w:t>
            </w:r>
          </w:p>
          <w:p w14:paraId="0142010A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9906" w14:textId="7146B823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256</w:t>
            </w:r>
            <w:r w:rsidR="005427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</w:t>
            </w:r>
          </w:p>
          <w:p w14:paraId="02B16476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A34F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5F0173" w:rsidRPr="005F0173" w14:paraId="789081B5" w14:textId="77777777" w:rsidTr="00423709">
        <w:trPr>
          <w:trHeight w:val="80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B6BE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701E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E141" w14:textId="77777777" w:rsidR="005F0173" w:rsidRPr="005F0173" w:rsidRDefault="005F0173" w:rsidP="0042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307C" w14:textId="77777777" w:rsidR="005F0173" w:rsidRPr="005F0173" w:rsidRDefault="005F0173" w:rsidP="0042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F5E5" w14:textId="77777777" w:rsidR="005F0173" w:rsidRPr="005F0173" w:rsidRDefault="005F0173" w:rsidP="0042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496" w14:textId="77777777" w:rsidR="005F0173" w:rsidRPr="005F0173" w:rsidRDefault="005F0173" w:rsidP="0042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E047" w14:textId="77777777" w:rsidR="005F0173" w:rsidRPr="005F0173" w:rsidRDefault="005F0173" w:rsidP="0042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F011" w14:textId="77777777" w:rsidR="005F0173" w:rsidRPr="005F0173" w:rsidRDefault="005F0173" w:rsidP="0042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0173" w:rsidRPr="005F0173" w14:paraId="0AACEB4C" w14:textId="77777777" w:rsidTr="005F017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EC2C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31B9" w14:textId="04C97BBF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Пилосос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Thoma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1620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4299" w14:textId="7C8C11D8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lang w:val="uk-UA"/>
              </w:rPr>
              <w:t xml:space="preserve">1992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D0DC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104493093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5A46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D472" w14:textId="3D87545A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1056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E8EB" w14:textId="1315961F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1056</w:t>
            </w:r>
            <w:r w:rsidR="005427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3F24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5F0173" w:rsidRPr="005F0173" w14:paraId="4C3B25D9" w14:textId="77777777" w:rsidTr="005F017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8453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2317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Обігрівач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95F" w14:textId="26D2CA03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lang w:val="uk-UA"/>
              </w:rPr>
              <w:t>2005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408E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101610001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68C4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1798" w14:textId="3FBE96D3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1517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0DBF" w14:textId="5CD7588F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1517</w:t>
            </w:r>
            <w:r w:rsidR="005427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FE9A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5F0173" w:rsidRPr="005F0173" w14:paraId="07A258E7" w14:textId="77777777" w:rsidTr="005F017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DB40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E723" w14:textId="635641DA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Меблі (м’який куточ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ок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0F17" w14:textId="74B48B82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C58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10633010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E087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7C9A" w14:textId="3C42F66F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3155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E675" w14:textId="17E146CA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3155</w:t>
            </w:r>
            <w:r w:rsidR="005427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C70E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5F0173" w:rsidRPr="005F0173" w14:paraId="25E9E965" w14:textId="77777777" w:rsidTr="005F017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5049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D78" w14:textId="0C05C19C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0" w:name="_Hlk200012268"/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Ш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афа з</w:t>
            </w:r>
            <w:r w:rsidR="005427D4" w:rsidRP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антресоллю</w:t>
            </w:r>
            <w:bookmarkEnd w:id="0"/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CC43" w14:textId="10340CD9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24F7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10633009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170A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7F0D" w14:textId="1DB8E213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95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D3D6" w14:textId="250DF8C2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</w:t>
            </w:r>
            <w:r w:rsidR="005427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A8D5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5F0173" w:rsidRPr="005F0173" w14:paraId="6FDB2596" w14:textId="77777777" w:rsidTr="005F017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7E77" w14:textId="77777777" w:rsidR="005F0173" w:rsidRPr="005F0173" w:rsidRDefault="005F0173" w:rsidP="005F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D3" w14:textId="1D8F47BE" w:rsidR="005F0173" w:rsidRPr="005F0173" w:rsidRDefault="005F0173" w:rsidP="005F0173">
            <w:pPr>
              <w:tabs>
                <w:tab w:val="left" w:pos="180"/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bookmarkStart w:id="1" w:name="_Hlk200012322"/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Прог</w:t>
            </w:r>
            <w:r w:rsidR="00B04B8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рамно-цифровий 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</w:t>
            </w:r>
            <w:r w:rsidR="00B04B8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нтезатор 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Yamaha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  <w:r w:rsidR="00B04B8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ДОС 21</w:t>
            </w:r>
            <w:bookmarkEnd w:id="1"/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045C" w14:textId="4DD6C69B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2E0A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10493109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0FB3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63D" w14:textId="30EBB02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4252</w:t>
            </w:r>
            <w:r w:rsidR="005427D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Pr="005F01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458D" w14:textId="22294C13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4252</w:t>
            </w:r>
            <w:r w:rsidR="005427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0192" w14:textId="77777777" w:rsidR="005F0173" w:rsidRPr="005F0173" w:rsidRDefault="005F0173" w:rsidP="005F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01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</w:tbl>
    <w:p w14:paraId="6B40EF68" w14:textId="352D68E9" w:rsidR="005F0173" w:rsidRDefault="005F0173" w:rsidP="0069623A">
      <w:pPr>
        <w:spacing w:after="0" w:line="240" w:lineRule="auto"/>
        <w:jc w:val="both"/>
        <w:rPr>
          <w:lang w:val="uk-UA"/>
        </w:rPr>
      </w:pPr>
    </w:p>
    <w:p w14:paraId="2A1E7D80" w14:textId="6EC15C95" w:rsidR="005F0173" w:rsidRDefault="005F0173" w:rsidP="0069623A">
      <w:pPr>
        <w:spacing w:after="0" w:line="240" w:lineRule="auto"/>
        <w:jc w:val="both"/>
        <w:rPr>
          <w:lang w:val="uk-UA"/>
        </w:rPr>
      </w:pPr>
    </w:p>
    <w:p w14:paraId="0B09AC1B" w14:textId="77777777" w:rsidR="005F0173" w:rsidRDefault="005F0173" w:rsidP="0069623A">
      <w:pPr>
        <w:spacing w:after="0" w:line="240" w:lineRule="auto"/>
        <w:jc w:val="both"/>
        <w:rPr>
          <w:lang w:val="uk-UA"/>
        </w:rPr>
      </w:pPr>
    </w:p>
    <w:p w14:paraId="6936E12F" w14:textId="7969B2D8" w:rsidR="005F0173" w:rsidRDefault="005F0173" w:rsidP="0069623A">
      <w:pPr>
        <w:spacing w:after="0" w:line="240" w:lineRule="auto"/>
        <w:jc w:val="both"/>
        <w:rPr>
          <w:lang w:val="en-US"/>
        </w:rPr>
      </w:pPr>
    </w:p>
    <w:p w14:paraId="66FF0273" w14:textId="77777777" w:rsidR="005F0173" w:rsidRPr="005F0173" w:rsidRDefault="005F0173" w:rsidP="0069623A">
      <w:pPr>
        <w:spacing w:after="0" w:line="240" w:lineRule="auto"/>
        <w:jc w:val="both"/>
        <w:rPr>
          <w:lang w:val="en-US"/>
        </w:rPr>
      </w:pPr>
    </w:p>
    <w:p w14:paraId="1F3C7479" w14:textId="3A3D372D" w:rsidR="009A0D4C" w:rsidRDefault="009A0D4C" w:rsidP="0007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E10D03" w:rsidRPr="00E10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0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Ніжинському міському Будинку культури Ніжинської міської ради Чернігівської області</w:t>
      </w:r>
      <w:r w:rsidR="002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(Литвинець І.П.)</w:t>
      </w:r>
      <w:r w:rsidRPr="009A0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списання майна здійснити згідно Положення про порядок відчуження та списання майна власності територіальної громади м. Ніжина, яке затверджене рішенням Ніжинської міської ради  6 скликання</w:t>
      </w:r>
      <w:r w:rsidR="002F6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0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 лютого 2012 року № 12-24 /2012.</w:t>
      </w:r>
    </w:p>
    <w:p w14:paraId="1B41D1E4" w14:textId="77777777" w:rsidR="002F6590" w:rsidRPr="009A0D4C" w:rsidRDefault="002F6590" w:rsidP="0007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F8EB9C" w14:textId="7478BFA9" w:rsidR="009A0D4C" w:rsidRDefault="009A0D4C" w:rsidP="0007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3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 і туризму </w:t>
      </w:r>
      <w:r w:rsidR="00686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proofErr w:type="spellStart"/>
      <w:r w:rsidR="00686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686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</w:t>
      </w:r>
    </w:p>
    <w:p w14:paraId="5E241476" w14:textId="77777777" w:rsidR="002F6590" w:rsidRDefault="00686832" w:rsidP="009A0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сайті протягом п’яти робочих днів після його прийняття.</w:t>
      </w:r>
      <w:r w:rsidR="009A0D4C" w:rsidRPr="009A0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512D686" w14:textId="471DD292" w:rsidR="00686832" w:rsidRDefault="009A0D4C" w:rsidP="009A0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AC272FE" w14:textId="2931E283" w:rsidR="00686832" w:rsidRDefault="00686832" w:rsidP="0007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Організацію виконання даного рішення покласти на заступника  міського голови  з питань діяльності виконавчих органів ради Смагу С.С. ,начальника управління культури і туризму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</w:t>
      </w:r>
    </w:p>
    <w:p w14:paraId="79CB87CA" w14:textId="77777777" w:rsidR="002F6590" w:rsidRDefault="002F6590" w:rsidP="0007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DD509" w14:textId="60A9FDC1" w:rsidR="00EC100A" w:rsidRPr="00E10F3B" w:rsidRDefault="00686832" w:rsidP="00070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="00EC100A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голова комісії </w:t>
      </w:r>
      <w:r w:rsid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329EF9" w14:textId="77777777"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099518" w14:textId="10FBE76F"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EA3AA8" w14:textId="77777777" w:rsidR="00E358A6" w:rsidRPr="00E10F3B" w:rsidRDefault="00E358A6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A97D02" w14:textId="77777777"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4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52D6D8C" w14:textId="77777777"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07A0F" w14:textId="77777777" w:rsidR="003802A6" w:rsidRDefault="003802A6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99A88E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BCE8687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529992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D014CE9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8216F4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7432264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708DBB2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9A4735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6CDDFE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AC77814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69340D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6C5A20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42E7AB" w14:textId="77777777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77F6DB8" w14:textId="1F477CE6" w:rsidR="00686832" w:rsidRDefault="00686832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48F3589" w14:textId="5505822A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5F6457" w14:textId="19994AB4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D3A0DA" w14:textId="59CE8D48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0EE4F0" w14:textId="2A71A69A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112C7F" w14:textId="5EE4FA13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5A8100" w14:textId="58138529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E85D84" w14:textId="1058992D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1F90F84" w14:textId="360EBF21" w:rsidR="00E10D03" w:rsidRDefault="00E10D03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AE7885D" w14:textId="4DEF5622" w:rsidR="00EC100A" w:rsidRPr="00E10F3B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Візують:</w:t>
      </w:r>
    </w:p>
    <w:p w14:paraId="0F671574" w14:textId="77777777"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069"/>
      </w:tblGrid>
      <w:tr w:rsidR="00EC100A" w:rsidRPr="00153482" w14:paraId="1DF2AB87" w14:textId="77777777" w:rsidTr="006A16AB">
        <w:tc>
          <w:tcPr>
            <w:tcW w:w="7088" w:type="dxa"/>
            <w:shd w:val="clear" w:color="auto" w:fill="auto"/>
          </w:tcPr>
          <w:p w14:paraId="00AEC96D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14:paraId="4C721C9C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14:paraId="50C0677C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4EEB0C" w14:textId="77777777" w:rsidR="007C2906" w:rsidRPr="00153482" w:rsidRDefault="007C2906" w:rsidP="007C290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9BED85" w14:textId="77777777" w:rsidR="007C2906" w:rsidRPr="00153482" w:rsidRDefault="007C2906" w:rsidP="007C290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14:paraId="6EF3F011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4DA1DB" w14:textId="77777777" w:rsidR="007C2906" w:rsidRPr="00153482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4714C5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41F4849C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14:paraId="5C90339B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318AEDB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14:paraId="04F8D078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14:paraId="586234F4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14:paraId="4A9658AB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14:paraId="04D484C5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7F63B93" w14:textId="77777777" w:rsidR="007C2906" w:rsidRPr="00153482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C587794" w14:textId="77777777" w:rsidR="00654214" w:rsidRPr="00153482" w:rsidRDefault="00654214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управління комунального майна </w:t>
            </w:r>
          </w:p>
          <w:p w14:paraId="18F0484D" w14:textId="77777777" w:rsidR="00EC100A" w:rsidRPr="00153482" w:rsidRDefault="00654214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земельних відносин Ніжинської міської ради</w:t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14:paraId="55127C3A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1349722" w14:textId="77777777" w:rsidR="007C2906" w:rsidRPr="00153482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96D9EE" w14:textId="77777777" w:rsidR="007C2906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="000850C1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 питань житлово-комунального господарства, комунальної власності, </w:t>
            </w:r>
          </w:p>
          <w:p w14:paraId="4B334C7D" w14:textId="77777777" w:rsidR="006A16AB" w:rsidRDefault="000850C1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14:paraId="0A0A26C3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14:paraId="427DC807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E6F8F6E" w14:textId="77777777" w:rsidR="007C2906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="007C2906"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14:paraId="48DE5576" w14:textId="77777777" w:rsidR="007C2906" w:rsidRPr="00153482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14:paraId="14817C4B" w14:textId="77777777" w:rsidR="005C0D81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запобігання корупції, адміністративно-</w:t>
            </w:r>
          </w:p>
          <w:p w14:paraId="4689F65A" w14:textId="77777777" w:rsidR="005C0D81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територіального устрою, депутатської </w:t>
            </w:r>
          </w:p>
          <w:p w14:paraId="35BCC1DF" w14:textId="77777777" w:rsidR="00EC100A" w:rsidRPr="00153482" w:rsidRDefault="007C2906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</w:t>
            </w:r>
          </w:p>
          <w:p w14:paraId="2566666C" w14:textId="77777777" w:rsidR="00EC100A" w:rsidRPr="00153482" w:rsidRDefault="00EC100A" w:rsidP="009C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14:paraId="647411FA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E28E5E" w14:textId="77777777" w:rsidR="00EC100A" w:rsidRPr="00153482" w:rsidRDefault="000850C1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Тетяна </w:t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АССАК</w:t>
            </w:r>
          </w:p>
          <w:p w14:paraId="357C913A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DC3930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8A951E" w14:textId="77777777" w:rsidR="005C0D81" w:rsidRDefault="005C0D81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877FF4" w14:textId="77777777" w:rsidR="00EC100A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14:paraId="3D44AE99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EB0032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73451E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92F90A1" w14:textId="77777777" w:rsidR="00EC100A" w:rsidRPr="00153482" w:rsidRDefault="000850C1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14:paraId="20CC2637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2E2C886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338D87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1C94D83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2AF496B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850C1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’ячеслав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</w:t>
            </w:r>
            <w:r w:rsidR="000850C1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ЕГА</w:t>
            </w:r>
          </w:p>
          <w:p w14:paraId="49A07BDE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CBCC000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01E9D5C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187B8B4" w14:textId="77777777" w:rsidR="00EC100A" w:rsidRPr="00153482" w:rsidRDefault="000850C1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Ірина ОНОКАЛО</w:t>
            </w:r>
          </w:p>
          <w:p w14:paraId="1EC5828C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A2DEE55" w14:textId="77777777" w:rsidR="006A16AB" w:rsidRDefault="006A16AB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F1CF291" w14:textId="77777777" w:rsidR="006A16AB" w:rsidRDefault="006A16AB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4928DA6" w14:textId="77777777" w:rsidR="006A16AB" w:rsidRDefault="006A16AB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5510593" w14:textId="77777777" w:rsidR="007C2906" w:rsidRPr="00153482" w:rsidRDefault="007C2906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14:paraId="504FC44C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F2A8708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D8AF534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6EDA7AE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46853E" w14:textId="77777777" w:rsidR="007C2906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727CDB" w14:textId="77777777" w:rsidR="005C0D81" w:rsidRDefault="005C0D81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2CB587" w14:textId="77777777" w:rsidR="005C0D81" w:rsidRDefault="005C0D81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3CB8F6" w14:textId="77777777" w:rsidR="00EC100A" w:rsidRPr="00153482" w:rsidRDefault="007C2906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14:paraId="179082B2" w14:textId="77777777" w:rsidR="00EC100A" w:rsidRPr="00153482" w:rsidRDefault="00EC100A" w:rsidP="009C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AB0AC0" w14:textId="77777777"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C81DC7" w14:textId="77777777" w:rsidR="007C2906" w:rsidRPr="00153482" w:rsidRDefault="007C2906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2B0D59" w14:textId="77777777"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Ніжинського міського 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</w:p>
    <w:p w14:paraId="67ABE6B2" w14:textId="77777777" w:rsidR="00EC100A" w:rsidRPr="00153482" w:rsidRDefault="007C2906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</w:t>
      </w:r>
      <w:r w:rsidR="00EC100A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4214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3482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100A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рина</w:t>
      </w:r>
      <w:r w:rsidR="00EC100A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ИТВИНЕЦЬ</w:t>
      </w:r>
    </w:p>
    <w:p w14:paraId="48BE32EC" w14:textId="77777777"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B47607" w14:textId="77777777"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D2C4" w14:textId="3D224C25" w:rsidR="00EC100A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D00374" w14:textId="32215514" w:rsidR="00070717" w:rsidRDefault="00070717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C9B53C" w14:textId="2C3A97E3" w:rsidR="00070717" w:rsidRDefault="00070717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E1B82E" w14:textId="146398F3" w:rsidR="00070717" w:rsidRDefault="00070717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EF6CC1" w14:textId="3B2C1715" w:rsidR="00070717" w:rsidRDefault="00070717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7E5AD8" w14:textId="7B6FDE9E" w:rsidR="00070717" w:rsidRDefault="00070717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BC3E8D" w14:textId="77777777" w:rsidR="00070717" w:rsidRPr="00E10D03" w:rsidRDefault="00070717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429C71" w14:textId="77777777" w:rsidR="00EC100A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6995DE" w14:textId="77777777" w:rsidR="003802A6" w:rsidRDefault="003802A6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A71275" w14:textId="77777777" w:rsidR="00EC100A" w:rsidRPr="00ED0318" w:rsidRDefault="00EC100A" w:rsidP="00EC10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3D7BF4CE" w14:textId="77777777" w:rsidR="00ED0318" w:rsidRPr="00ED0318" w:rsidRDefault="00EC100A" w:rsidP="00E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D76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D76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«Про надання дозволу Ніжинському міському Будинку культури Ніжинської міської ради Чернігівської області на списання основних</w:t>
      </w:r>
    </w:p>
    <w:p w14:paraId="576B587A" w14:textId="77777777" w:rsidR="00EC100A" w:rsidRPr="00ED0318" w:rsidRDefault="00EC100A" w:rsidP="00E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 з балансу»</w:t>
      </w:r>
    </w:p>
    <w:p w14:paraId="4C2E31C3" w14:textId="77777777" w:rsidR="00ED0318" w:rsidRPr="00ED0318" w:rsidRDefault="00ED0318" w:rsidP="00E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7DFD5" w14:textId="77777777" w:rsidR="00EC100A" w:rsidRPr="00ED0318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14:paraId="3192A7A0" w14:textId="77777777"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передбачає надання дозволу Ніжинському міському Будинку культури Ніжинської міської ради Чернігівської області на списання осно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засобів з балансу установи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357645" w14:textId="77777777" w:rsidR="009C56AE" w:rsidRPr="00ED0318" w:rsidRDefault="009C56AE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072A68" w14:textId="03344E38" w:rsidR="00EC100A" w:rsidRDefault="00EC100A" w:rsidP="003D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засоби: м</w:t>
      </w:r>
      <w:r w:rsid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узичний інструмент -  </w:t>
      </w:r>
      <w:r w:rsidR="00136FDC" w:rsidRP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Баян «</w:t>
      </w:r>
      <w:proofErr w:type="spellStart"/>
      <w:r w:rsidR="00136FDC" w:rsidRP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Вельтмейстер</w:t>
      </w:r>
      <w:proofErr w:type="spellEnd"/>
      <w:r w:rsidR="00136FDC" w:rsidRP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илосос «</w:t>
      </w:r>
      <w:proofErr w:type="spellStart"/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Thomas</w:t>
      </w:r>
      <w:proofErr w:type="spellEnd"/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1620»</w:t>
      </w:r>
      <w:r w:rsid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36FDC" w:rsidRPr="00B04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бігрівач</w:t>
      </w:r>
      <w:r w:rsidR="00136FDC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136FDC" w:rsidRP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еблі (м’який куточ</w:t>
      </w:r>
      <w:r w:rsidR="00136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ок), 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 з антресоллю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</w:t>
      </w:r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рограмно-цифровий синтезатор  «</w:t>
      </w:r>
      <w:proofErr w:type="spellStart"/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Yamaha</w:t>
      </w:r>
      <w:proofErr w:type="spellEnd"/>
      <w:r w:rsidR="00B04B81" w:rsidRP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ДОС 21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</w:t>
      </w:r>
      <w:r w:rsidR="00B0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списанню, знаходяться в неробочому та непридатному для подальшої експлуатації стані. Відповідно до Акту</w:t>
      </w:r>
      <w:r w:rsidR="0038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дефектування від </w:t>
      </w:r>
      <w:r w:rsidR="00CE1F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05.06.</w:t>
      </w:r>
      <w:r w:rsidR="003D3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ED031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технічний стан</w:t>
      </w:r>
      <w:r w:rsidR="00ED031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200014052"/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програмно-цифров</w:t>
      </w:r>
      <w:r w:rsid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синтезатор</w:t>
      </w:r>
      <w:r w:rsid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Yamaha</w:t>
      </w:r>
      <w:proofErr w:type="spellEnd"/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</w:t>
      </w:r>
      <w:r w:rsid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bookmarkEnd w:id="2"/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визнача</w:t>
      </w:r>
      <w:r w:rsidR="0038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не придатним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експлуатації в зв’язку з несправністю, фактичним моральним зносом, відпрацюванням рекомендованого терміну роботи. Проведення ремонту </w:t>
      </w:r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програмно-цифрового синтезатору «</w:t>
      </w:r>
      <w:proofErr w:type="spellStart"/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Yamaha</w:t>
      </w:r>
      <w:proofErr w:type="spellEnd"/>
      <w:r w:rsidR="00D058CC" w:rsidRPr="00D0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ДОС 21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38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відпрацюва</w:t>
      </w:r>
      <w:r w:rsidR="00380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амортизаційний строк, не є можливим. </w:t>
      </w:r>
    </w:p>
    <w:p w14:paraId="05F29C7F" w14:textId="77777777" w:rsidR="009C56AE" w:rsidRPr="00ED0318" w:rsidRDefault="009C56AE" w:rsidP="0051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6A56E7" w14:textId="77777777" w:rsidR="00EC100A" w:rsidRPr="00ED0318" w:rsidRDefault="003802A6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14:paraId="5594C08C" w14:textId="77777777"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14:paraId="46AB9287" w14:textId="77777777" w:rsidR="009C56AE" w:rsidRPr="00ED0318" w:rsidRDefault="009C56AE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210C73" w14:textId="77777777" w:rsidR="00EC100A" w:rsidRPr="00ED0318" w:rsidRDefault="003802A6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Фінансово-економічне обґрунтування</w:t>
      </w:r>
    </w:p>
    <w:p w14:paraId="71E77596" w14:textId="71683D24" w:rsidR="00EC100A" w:rsidRPr="00ED0318" w:rsidRDefault="00D76AE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потребує фінансових витрат з міс</w:t>
      </w:r>
      <w:r w:rsidR="004035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бюджету.</w:t>
      </w:r>
    </w:p>
    <w:p w14:paraId="5796E537" w14:textId="77777777"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E45435" w14:textId="77777777" w:rsidR="00183D38" w:rsidRPr="00ED0318" w:rsidRDefault="00183D3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7F5E4E" w14:textId="77777777" w:rsidR="00ED0318" w:rsidRPr="00ED0318" w:rsidRDefault="00ED031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51A323" w14:textId="77777777" w:rsidR="00183D38" w:rsidRPr="00ED0318" w:rsidRDefault="00183D3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EC5686" w14:textId="77777777"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48C0203B" w14:textId="77777777" w:rsidR="00EC100A" w:rsidRPr="00ED0318" w:rsidRDefault="00ED031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183D3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етяна БАССАК</w:t>
      </w:r>
    </w:p>
    <w:p w14:paraId="0DA15133" w14:textId="77777777"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B4DC3C" w14:textId="77777777"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71A0F2" w14:textId="77777777"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3831C4" w14:textId="77777777" w:rsidR="00EC100A" w:rsidRPr="00261064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DDA06F0" w14:textId="77777777" w:rsidR="00EC100A" w:rsidRPr="00261064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049241E" w14:textId="77777777" w:rsidR="00EC100A" w:rsidRPr="00261064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0FB615A" w14:textId="77777777" w:rsidR="00EC100A" w:rsidRPr="00261064" w:rsidRDefault="00EC100A" w:rsidP="00EC100A">
      <w:pPr>
        <w:rPr>
          <w:sz w:val="27"/>
          <w:szCs w:val="27"/>
        </w:rPr>
      </w:pPr>
    </w:p>
    <w:p w14:paraId="46D273FD" w14:textId="77777777" w:rsidR="00EC100A" w:rsidRPr="007F3386" w:rsidRDefault="00EC100A" w:rsidP="00EC100A"/>
    <w:p w14:paraId="12B896E4" w14:textId="77777777" w:rsidR="002858CE" w:rsidRPr="00EC100A" w:rsidRDefault="002858CE" w:rsidP="00EC100A"/>
    <w:sectPr w:rsidR="002858CE" w:rsidRPr="00EC100A" w:rsidSect="00EC100A">
      <w:pgSz w:w="11906" w:h="16838"/>
      <w:pgMar w:top="720" w:right="84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EA9"/>
    <w:multiLevelType w:val="hybridMultilevel"/>
    <w:tmpl w:val="CCFC69B6"/>
    <w:lvl w:ilvl="0" w:tplc="1860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9F3"/>
    <w:multiLevelType w:val="hybridMultilevel"/>
    <w:tmpl w:val="DCF659AE"/>
    <w:lvl w:ilvl="0" w:tplc="1B829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62396F9E"/>
    <w:multiLevelType w:val="hybridMultilevel"/>
    <w:tmpl w:val="92C4F7A4"/>
    <w:lvl w:ilvl="0" w:tplc="1B829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30341">
    <w:abstractNumId w:val="5"/>
  </w:num>
  <w:num w:numId="2" w16cid:durableId="1445806975">
    <w:abstractNumId w:val="2"/>
  </w:num>
  <w:num w:numId="3" w16cid:durableId="256064245">
    <w:abstractNumId w:val="6"/>
  </w:num>
  <w:num w:numId="4" w16cid:durableId="407463334">
    <w:abstractNumId w:val="8"/>
  </w:num>
  <w:num w:numId="5" w16cid:durableId="94251433">
    <w:abstractNumId w:val="4"/>
  </w:num>
  <w:num w:numId="6" w16cid:durableId="1602840293">
    <w:abstractNumId w:val="3"/>
  </w:num>
  <w:num w:numId="7" w16cid:durableId="1551961733">
    <w:abstractNumId w:val="7"/>
  </w:num>
  <w:num w:numId="8" w16cid:durableId="378088843">
    <w:abstractNumId w:val="0"/>
  </w:num>
  <w:num w:numId="9" w16cid:durableId="90630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9D"/>
    <w:rsid w:val="000400F2"/>
    <w:rsid w:val="00046806"/>
    <w:rsid w:val="00070717"/>
    <w:rsid w:val="000850C1"/>
    <w:rsid w:val="00097AB1"/>
    <w:rsid w:val="000E6205"/>
    <w:rsid w:val="000F2018"/>
    <w:rsid w:val="00104EAB"/>
    <w:rsid w:val="001342C1"/>
    <w:rsid w:val="00136FDC"/>
    <w:rsid w:val="00143AF7"/>
    <w:rsid w:val="00151C8F"/>
    <w:rsid w:val="00153482"/>
    <w:rsid w:val="00183D38"/>
    <w:rsid w:val="001A49A1"/>
    <w:rsid w:val="001F58B2"/>
    <w:rsid w:val="00245011"/>
    <w:rsid w:val="002821EB"/>
    <w:rsid w:val="002858CE"/>
    <w:rsid w:val="002962C2"/>
    <w:rsid w:val="002D64E6"/>
    <w:rsid w:val="002F6590"/>
    <w:rsid w:val="00307230"/>
    <w:rsid w:val="0031132D"/>
    <w:rsid w:val="00323DCF"/>
    <w:rsid w:val="00327F93"/>
    <w:rsid w:val="0036717F"/>
    <w:rsid w:val="003802A6"/>
    <w:rsid w:val="003A5CB9"/>
    <w:rsid w:val="003D3FAF"/>
    <w:rsid w:val="003D6EE0"/>
    <w:rsid w:val="003E3440"/>
    <w:rsid w:val="0040358D"/>
    <w:rsid w:val="00404076"/>
    <w:rsid w:val="00423709"/>
    <w:rsid w:val="00427165"/>
    <w:rsid w:val="00435A0A"/>
    <w:rsid w:val="004847C8"/>
    <w:rsid w:val="004B1680"/>
    <w:rsid w:val="004E4C31"/>
    <w:rsid w:val="004F65A8"/>
    <w:rsid w:val="00513BC3"/>
    <w:rsid w:val="005427D4"/>
    <w:rsid w:val="00563BE3"/>
    <w:rsid w:val="005C0D81"/>
    <w:rsid w:val="005F0173"/>
    <w:rsid w:val="00606B8D"/>
    <w:rsid w:val="006133AE"/>
    <w:rsid w:val="00614CF7"/>
    <w:rsid w:val="00621021"/>
    <w:rsid w:val="00654214"/>
    <w:rsid w:val="00675727"/>
    <w:rsid w:val="00686832"/>
    <w:rsid w:val="0069623A"/>
    <w:rsid w:val="006A16AB"/>
    <w:rsid w:val="00752F94"/>
    <w:rsid w:val="00757547"/>
    <w:rsid w:val="00771753"/>
    <w:rsid w:val="0077792F"/>
    <w:rsid w:val="0078105B"/>
    <w:rsid w:val="00781CEF"/>
    <w:rsid w:val="007B4C9A"/>
    <w:rsid w:val="007C2906"/>
    <w:rsid w:val="007F0D80"/>
    <w:rsid w:val="007F7B9C"/>
    <w:rsid w:val="00800207"/>
    <w:rsid w:val="0085310B"/>
    <w:rsid w:val="008D0AF3"/>
    <w:rsid w:val="008E5E8F"/>
    <w:rsid w:val="0091369D"/>
    <w:rsid w:val="00916797"/>
    <w:rsid w:val="00934611"/>
    <w:rsid w:val="0095561F"/>
    <w:rsid w:val="009A0D4C"/>
    <w:rsid w:val="009A3019"/>
    <w:rsid w:val="009C0F4A"/>
    <w:rsid w:val="009C2FF2"/>
    <w:rsid w:val="009C56AE"/>
    <w:rsid w:val="009F6D05"/>
    <w:rsid w:val="00A1049E"/>
    <w:rsid w:val="00A30863"/>
    <w:rsid w:val="00A3357A"/>
    <w:rsid w:val="00A33F02"/>
    <w:rsid w:val="00A87258"/>
    <w:rsid w:val="00AA43FB"/>
    <w:rsid w:val="00AB59CE"/>
    <w:rsid w:val="00B04B81"/>
    <w:rsid w:val="00B05072"/>
    <w:rsid w:val="00B92CF1"/>
    <w:rsid w:val="00BC6656"/>
    <w:rsid w:val="00BE194D"/>
    <w:rsid w:val="00BE32C7"/>
    <w:rsid w:val="00BF21CD"/>
    <w:rsid w:val="00C7269D"/>
    <w:rsid w:val="00C80B4F"/>
    <w:rsid w:val="00CC3B14"/>
    <w:rsid w:val="00CE1F36"/>
    <w:rsid w:val="00CE1FEF"/>
    <w:rsid w:val="00D058CC"/>
    <w:rsid w:val="00D141D2"/>
    <w:rsid w:val="00D21ECA"/>
    <w:rsid w:val="00D643C2"/>
    <w:rsid w:val="00D76AEA"/>
    <w:rsid w:val="00D90055"/>
    <w:rsid w:val="00D94864"/>
    <w:rsid w:val="00DB0E34"/>
    <w:rsid w:val="00E04609"/>
    <w:rsid w:val="00E10D03"/>
    <w:rsid w:val="00E10F3B"/>
    <w:rsid w:val="00E358A6"/>
    <w:rsid w:val="00E67875"/>
    <w:rsid w:val="00E75CCE"/>
    <w:rsid w:val="00E862E7"/>
    <w:rsid w:val="00EC100A"/>
    <w:rsid w:val="00EC5900"/>
    <w:rsid w:val="00ED0318"/>
    <w:rsid w:val="00ED7F6A"/>
    <w:rsid w:val="00F0185F"/>
    <w:rsid w:val="00F02D2E"/>
    <w:rsid w:val="00F46E73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0E40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0A"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Знак"/>
    <w:basedOn w:val="a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"/>
    <w:uiPriority w:val="39"/>
    <w:rsid w:val="0007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5AC6-85D9-4134-B156-43E65E82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2025-06-10T07:27:00Z</cp:lastPrinted>
  <dcterms:created xsi:type="dcterms:W3CDTF">2025-07-07T13:11:00Z</dcterms:created>
  <dcterms:modified xsi:type="dcterms:W3CDTF">2025-07-07T13:11:00Z</dcterms:modified>
</cp:coreProperties>
</file>