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04C5" w14:textId="7A4EBB12" w:rsidR="00D73DA0" w:rsidRPr="002D2801" w:rsidRDefault="00EB033D" w:rsidP="00EB033D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D73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Hlk204065924"/>
      <w:r w:rsidR="00D73DA0" w:rsidRPr="00CD5AC2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73E3228" wp14:editId="38170418">
            <wp:extent cx="488950" cy="596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D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</w:p>
    <w:p w14:paraId="27B1F5A6" w14:textId="345FEF5F" w:rsidR="00D73DA0" w:rsidRPr="00CD5AC2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EB03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</w:t>
      </w:r>
      <w:r w:rsidRPr="002D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ЇНА</w:t>
      </w:r>
      <w:r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2254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254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</w:p>
    <w:p w14:paraId="7129B359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7D25990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BC2C973" w14:textId="2674B772" w:rsidR="00D73DA0" w:rsidRDefault="00EB033D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51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26393CBF" w14:textId="77777777" w:rsidR="00EB033D" w:rsidRPr="00EB033D" w:rsidRDefault="00EB033D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</w:p>
    <w:p w14:paraId="4BC1D633" w14:textId="66433F10" w:rsidR="00EB033D" w:rsidRPr="00EB033D" w:rsidRDefault="00D73DA0" w:rsidP="00EB0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6807504F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0D464" w14:textId="37F71443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листопада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B0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3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10-51/2025</w:t>
      </w:r>
    </w:p>
    <w:p w14:paraId="6400FD88" w14:textId="77777777" w:rsidR="00D73DA0" w:rsidRPr="00CD5AC2" w:rsidRDefault="00D73DA0" w:rsidP="00D73DA0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</w:tblGrid>
      <w:tr w:rsidR="00D73DA0" w:rsidRPr="00CD5AC2" w14:paraId="6A7CB3E6" w14:textId="77777777" w:rsidTr="009B2F6A">
        <w:trPr>
          <w:trHeight w:val="1635"/>
        </w:trPr>
        <w:tc>
          <w:tcPr>
            <w:tcW w:w="4941" w:type="dxa"/>
            <w:hideMark/>
          </w:tcPr>
          <w:p w14:paraId="150B3854" w14:textId="76962811" w:rsidR="00D73DA0" w:rsidRPr="00CD5AC2" w:rsidRDefault="00D73DA0" w:rsidP="00BA6189">
            <w:pPr>
              <w:ind w:left="-10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1" w:name="_Hlk194477148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Про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дострокове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припинення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Договору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№</w:t>
            </w:r>
            <w:r w:rsid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78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оренди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нерухомого</w:t>
            </w:r>
            <w:proofErr w:type="spellEnd"/>
            <w:r w:rsid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або іншого окремого індивідуально визначеного майна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>, що належить до комунальної власності Ніжинської</w:t>
            </w:r>
            <w:r w:rsidR="00373143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міської 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територіальної громади від 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21 </w:t>
            </w:r>
            <w:r w:rsidR="0049032B"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>червня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202</w:t>
            </w:r>
            <w:r w:rsidR="0049032B"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>4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року</w:t>
            </w:r>
            <w:r w:rsidRPr="0049032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bookmarkEnd w:id="1"/>
          </w:p>
        </w:tc>
      </w:tr>
    </w:tbl>
    <w:p w14:paraId="4D0E6009" w14:textId="77777777" w:rsidR="00D73DA0" w:rsidRDefault="00D73DA0" w:rsidP="00D73D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71F2C" w14:textId="1B53EEC9" w:rsidR="00D73DA0" w:rsidRPr="00CD5AC2" w:rsidRDefault="00D73DA0" w:rsidP="00D7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C76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«Про оренду державного та комунального майна» від 03 жовтня 2019 року №157-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C76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Порядку передачі в оренду державного та комунального майна, затвердженого постановою Кабінету Міністрів України від 03 червня 2020 р. </w:t>
      </w:r>
      <w:r w:rsidR="00C76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483 «Деякі питання оренди державного та комунального майна»</w:t>
      </w:r>
      <w:r w:rsidR="00C76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Регламент</w:t>
      </w:r>
      <w:r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затвердженого рішенням Ніжинської міської ради від 27 листопада 2020 року № 3-2/2020 </w:t>
      </w:r>
      <w:r w:rsidRPr="00CD5AC2">
        <w:rPr>
          <w:rFonts w:ascii="Times New Roman" w:eastAsia="Calibri" w:hAnsi="Times New Roman" w:cs="Times New Roman"/>
          <w:sz w:val="28"/>
          <w:szCs w:val="28"/>
          <w:lang w:val="uk-UA"/>
        </w:rPr>
        <w:t>(зі змінами)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</w:t>
      </w:r>
      <w:bookmarkStart w:id="2" w:name="_Hlk194477229"/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директора </w:t>
      </w:r>
      <w:r w:rsidR="00456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</w:t>
      </w:r>
      <w:r w:rsidR="00667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456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льного некомерційного підприємства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Лосинівський</w:t>
      </w:r>
      <w:proofErr w:type="spellEnd"/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допомоги»</w:t>
      </w:r>
      <w:r w:rsidR="00F63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63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F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осинівської</w:t>
      </w:r>
      <w:proofErr w:type="spellEnd"/>
      <w:r w:rsidR="00F73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6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Ніжинського району Чернігівської області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Наталії Руденко від 21.10.2025 року №210 та лист в.о. генерального директора </w:t>
      </w:r>
      <w:r w:rsidR="00667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некомерційного підприємства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«Ніжинська центральна міська лікарня імені Миколи Галицького» Ніжинської міської ради Чернігівської області Олега </w:t>
      </w:r>
      <w:proofErr w:type="spellStart"/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Качера</w:t>
      </w:r>
      <w:proofErr w:type="spellEnd"/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21.10.2025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49C3B606" w14:textId="047BB6A3" w:rsidR="00D73DA0" w:rsidRPr="00667F89" w:rsidRDefault="00D73DA0" w:rsidP="00D73D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Припинити </w:t>
      </w:r>
      <w:r w:rsidRPr="002111DF">
        <w:rPr>
          <w:rFonts w:ascii="Times New Roman" w:eastAsia="Calibri" w:hAnsi="Times New Roman" w:cs="Times New Roman"/>
          <w:sz w:val="28"/>
          <w:lang w:val="uk-UA"/>
        </w:rPr>
        <w:t>Догов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ір № </w:t>
      </w:r>
      <w:r w:rsidR="005D5F31">
        <w:rPr>
          <w:rFonts w:ascii="Times New Roman" w:eastAsia="Calibri" w:hAnsi="Times New Roman" w:cs="Times New Roman"/>
          <w:sz w:val="28"/>
          <w:lang w:val="uk-UA"/>
        </w:rPr>
        <w:t>78</w:t>
      </w:r>
      <w:r w:rsidRPr="00D73DA0">
        <w:rPr>
          <w:rFonts w:ascii="Times New Roman" w:eastAsia="Calibri" w:hAnsi="Times New Roman" w:cs="Times New Roman"/>
          <w:sz w:val="28"/>
          <w:lang w:val="uk-UA"/>
        </w:rPr>
        <w:t xml:space="preserve"> оренди нерухомого майна</w:t>
      </w:r>
      <w:r>
        <w:rPr>
          <w:rFonts w:ascii="Times New Roman" w:eastAsia="Calibri" w:hAnsi="Times New Roman" w:cs="Times New Roman"/>
          <w:sz w:val="28"/>
          <w:lang w:val="uk-UA"/>
        </w:rPr>
        <w:t>, що належить до комунальної власності Ніжинської</w:t>
      </w:r>
      <w:r w:rsidR="002D0F06">
        <w:rPr>
          <w:rFonts w:ascii="Times New Roman" w:eastAsia="Calibri" w:hAnsi="Times New Roman" w:cs="Times New Roman"/>
          <w:sz w:val="28"/>
          <w:lang w:val="uk-UA"/>
        </w:rPr>
        <w:t xml:space="preserve"> міської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територіальної громади від 21 </w:t>
      </w:r>
      <w:r w:rsidR="005D5F31">
        <w:rPr>
          <w:rFonts w:ascii="Times New Roman" w:eastAsia="Calibri" w:hAnsi="Times New Roman" w:cs="Times New Roman"/>
          <w:sz w:val="28"/>
          <w:lang w:val="uk-UA"/>
        </w:rPr>
        <w:t>червня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                   202</w:t>
      </w:r>
      <w:r w:rsidR="005D5F31">
        <w:rPr>
          <w:rFonts w:ascii="Times New Roman" w:eastAsia="Calibri" w:hAnsi="Times New Roman" w:cs="Times New Roman"/>
          <w:sz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року</w:t>
      </w:r>
      <w:r w:rsidRPr="00CD5A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615436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нежитлов</w:t>
      </w:r>
      <w:r w:rsidR="00EC5D8B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приміщення</w:t>
      </w:r>
      <w:r w:rsidR="00EC5D8B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921CC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120,0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корисною 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площею 85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Чернігівська область, місто Ніжин, вулиця </w:t>
      </w:r>
      <w:r w:rsidR="005D5F31">
        <w:rPr>
          <w:rFonts w:ascii="Times New Roman" w:eastAsia="Calibri" w:hAnsi="Times New Roman" w:cs="Times New Roman"/>
          <w:sz w:val="28"/>
          <w:szCs w:val="28"/>
          <w:lang w:val="uk-UA"/>
        </w:rPr>
        <w:t>Амосова академіка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будинок </w:t>
      </w:r>
      <w:r w:rsidR="005D5F31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3921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укладеного з 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комунальним некомерційним підприємством «</w:t>
      </w:r>
      <w:proofErr w:type="spellStart"/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Лосинівський</w:t>
      </w:r>
      <w:proofErr w:type="spellEnd"/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Лосинівської</w:t>
      </w:r>
      <w:proofErr w:type="spellEnd"/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Ніжинського району Чернігівської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(балансоутримувач – 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</w:t>
      </w:r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некомерційн</w:t>
      </w:r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«Ніжинська </w:t>
      </w:r>
      <w:r w:rsidR="00EC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центральна міська лікарня імені Миколи Галицького» Ніжинської міської ради Чернігівської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Pr="00667F89">
        <w:rPr>
          <w:rFonts w:ascii="Times New Roman" w:eastAsia="Calibri" w:hAnsi="Times New Roman" w:cs="Times New Roman"/>
          <w:sz w:val="28"/>
          <w:szCs w:val="28"/>
          <w:lang w:val="uk-UA"/>
        </w:rPr>
        <w:t>за згодою сторін</w:t>
      </w:r>
      <w:r w:rsidR="00804550" w:rsidRPr="00667F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</w:t>
      </w:r>
      <w:r w:rsidR="00667F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30</w:t>
      </w:r>
      <w:r w:rsidR="00804550" w:rsidRPr="00667F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</w:t>
      </w:r>
      <w:r w:rsidR="00667F89">
        <w:rPr>
          <w:rFonts w:ascii="Times New Roman" w:eastAsia="Calibri" w:hAnsi="Times New Roman" w:cs="Times New Roman"/>
          <w:sz w:val="28"/>
          <w:szCs w:val="28"/>
          <w:lang w:val="uk-UA"/>
        </w:rPr>
        <w:t>стопада</w:t>
      </w:r>
      <w:r w:rsidR="00804550" w:rsidRPr="00667F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 року.</w:t>
      </w:r>
    </w:p>
    <w:p w14:paraId="742AD241" w14:textId="2D6407F3" w:rsidR="00D73DA0" w:rsidRDefault="00D73DA0" w:rsidP="00D73DA0">
      <w:pPr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B5F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7871BA">
        <w:rPr>
          <w:rFonts w:ascii="Times New Roman" w:eastAsia="Calibri" w:hAnsi="Times New Roman" w:cs="Times New Roman"/>
          <w:sz w:val="28"/>
          <w:szCs w:val="28"/>
          <w:lang w:val="uk-UA"/>
        </w:rPr>
        <w:t>Орендодавцю, Балансоутримувачу</w:t>
      </w:r>
      <w:r w:rsidR="00F147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871BA">
        <w:rPr>
          <w:rFonts w:ascii="Times New Roman" w:eastAsia="Calibri" w:hAnsi="Times New Roman" w:cs="Times New Roman"/>
          <w:sz w:val="28"/>
          <w:szCs w:val="28"/>
          <w:lang w:val="uk-UA"/>
        </w:rPr>
        <w:t>та Орендарю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B5F61">
        <w:rPr>
          <w:rFonts w:ascii="Times New Roman" w:eastAsia="Calibri" w:hAnsi="Times New Roman" w:cs="Times New Roman"/>
          <w:sz w:val="28"/>
          <w:szCs w:val="28"/>
          <w:lang w:val="uk-UA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 157-XI, Порядку передачі в оренду державного та комунального майна, затвердженого постановою Кабінету Міністрів України від 03 червня 2020 р. № 483 «Деякі питання оренди державного та комунального майна».</w:t>
      </w:r>
    </w:p>
    <w:p w14:paraId="29D0EBCB" w14:textId="77777777" w:rsidR="00D73DA0" w:rsidRPr="00CD5AC2" w:rsidRDefault="00D73DA0" w:rsidP="00D73DA0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О.О.,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1B53ADDB" w14:textId="6DB2696E" w:rsidR="00BC0E30" w:rsidRDefault="00D73DA0" w:rsidP="00D73DA0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даного рішення покласти на першого заступника міського голови з питань діяльності виконавчих органів ради Вовченка Ф. І. та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                       </w:t>
      </w:r>
      <w:r w:rsidR="00394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</w:t>
      </w:r>
      <w:r w:rsidR="00BC0E30" w:rsidRP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генерального директора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</w:t>
      </w:r>
      <w:proofErr w:type="spellStart"/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Качера</w:t>
      </w:r>
      <w:proofErr w:type="spellEnd"/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464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Е.</w:t>
      </w:r>
      <w:r w:rsidR="00BC0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CCC29BC" w14:textId="0C545BD5" w:rsidR="00D73DA0" w:rsidRPr="00CD5AC2" w:rsidRDefault="00D73DA0" w:rsidP="00D73DA0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 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М.).</w:t>
      </w:r>
    </w:p>
    <w:p w14:paraId="4F69E8BD" w14:textId="77777777" w:rsidR="00D73DA0" w:rsidRPr="00CD5AC2" w:rsidRDefault="00D73DA0" w:rsidP="00D73DA0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127387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6C5DB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Олександр КОДОЛА</w:t>
      </w:r>
    </w:p>
    <w:p w14:paraId="2B4124C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D2D6F7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19FB6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CE69D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C0667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2847B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52FDF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E583B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FB9412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6C4908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AB79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A1BCC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D2E19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2682B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71FDF9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29229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081E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24313E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EEBBF0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C5FB71" w14:textId="5114B43C" w:rsidR="00D73DA0" w:rsidRPr="00CD5AC2" w:rsidRDefault="00EB033D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" w:name="_Hlk7939999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Візують:</w:t>
      </w:r>
    </w:p>
    <w:p w14:paraId="0E4C021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8A5EA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2201C40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Ірина ОНОКАЛО</w:t>
      </w:r>
    </w:p>
    <w:p w14:paraId="38C9CEA1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B076E5C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1928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</w:t>
      </w:r>
    </w:p>
    <w:p w14:paraId="4DFEBCA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40981F5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ради                                                          Федір ВОВЧЕНКО</w:t>
      </w:r>
    </w:p>
    <w:p w14:paraId="26F65FA9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C0AC3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A867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Юрій ХОМЕНКО</w:t>
      </w:r>
    </w:p>
    <w:p w14:paraId="0924E1E4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FAA1E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21C5A1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2A7798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6DECC5F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</w:p>
    <w:p w14:paraId="2F7383DA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D961AFB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9618C2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3406A78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</w:t>
      </w:r>
    </w:p>
    <w:p w14:paraId="69416CF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звітності та правового забезпечення Управління</w:t>
      </w:r>
    </w:p>
    <w:p w14:paraId="0DFD20E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42E354F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Сергій САВЧЕНКО</w:t>
      </w:r>
    </w:p>
    <w:p w14:paraId="7114CC00" w14:textId="77777777" w:rsidR="00EB033D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</w:p>
    <w:p w14:paraId="263E8F66" w14:textId="22534F45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</w:p>
    <w:p w14:paraId="490FFA78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08B333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9CF6AB1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653CE6DC" w14:textId="3B5F1F88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6C71689A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C6BE40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D8314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</w:t>
      </w:r>
    </w:p>
    <w:p w14:paraId="1E1A6A56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</w:t>
      </w:r>
    </w:p>
    <w:p w14:paraId="766E376F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прав і свобод громадян,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</w:t>
      </w:r>
    </w:p>
    <w:p w14:paraId="7D51A77D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корупції, адміністративно-територіального</w:t>
      </w:r>
    </w:p>
    <w:p w14:paraId="40936484" w14:textId="4C460564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183EA66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C45213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bookmarkEnd w:id="3"/>
    <w:p w14:paraId="27E9BA6A" w14:textId="77777777" w:rsidR="00D73DA0" w:rsidRPr="008C01E4" w:rsidRDefault="00D73DA0" w:rsidP="00D73DA0">
      <w:pPr>
        <w:rPr>
          <w:lang w:val="uk-UA"/>
        </w:rPr>
      </w:pPr>
    </w:p>
    <w:bookmarkEnd w:id="0"/>
    <w:p w14:paraId="3A329124" w14:textId="77777777" w:rsidR="00F12C76" w:rsidRPr="00D73DA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D73DA0" w:rsidSect="00D73D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A0"/>
    <w:rsid w:val="00005567"/>
    <w:rsid w:val="000A28DE"/>
    <w:rsid w:val="000C51F2"/>
    <w:rsid w:val="000D5DFA"/>
    <w:rsid w:val="0010622B"/>
    <w:rsid w:val="001132B6"/>
    <w:rsid w:val="001159D4"/>
    <w:rsid w:val="00147E18"/>
    <w:rsid w:val="0017443F"/>
    <w:rsid w:val="001E32F7"/>
    <w:rsid w:val="002208D7"/>
    <w:rsid w:val="00225420"/>
    <w:rsid w:val="00240124"/>
    <w:rsid w:val="00263D85"/>
    <w:rsid w:val="00295D41"/>
    <w:rsid w:val="002D0F06"/>
    <w:rsid w:val="002D2801"/>
    <w:rsid w:val="00357392"/>
    <w:rsid w:val="00357C79"/>
    <w:rsid w:val="00373143"/>
    <w:rsid w:val="003921CC"/>
    <w:rsid w:val="00394F6D"/>
    <w:rsid w:val="004526B5"/>
    <w:rsid w:val="00456572"/>
    <w:rsid w:val="00464E0B"/>
    <w:rsid w:val="0049032B"/>
    <w:rsid w:val="004B4DF9"/>
    <w:rsid w:val="004E3C5E"/>
    <w:rsid w:val="005A3398"/>
    <w:rsid w:val="005C185C"/>
    <w:rsid w:val="005D5F31"/>
    <w:rsid w:val="00615436"/>
    <w:rsid w:val="00627D5B"/>
    <w:rsid w:val="00655A85"/>
    <w:rsid w:val="00667F89"/>
    <w:rsid w:val="00686548"/>
    <w:rsid w:val="006C0B77"/>
    <w:rsid w:val="0071690D"/>
    <w:rsid w:val="007F744A"/>
    <w:rsid w:val="00804550"/>
    <w:rsid w:val="008242FF"/>
    <w:rsid w:val="008307F5"/>
    <w:rsid w:val="00870751"/>
    <w:rsid w:val="008814C0"/>
    <w:rsid w:val="00886B44"/>
    <w:rsid w:val="008D0012"/>
    <w:rsid w:val="00902B9F"/>
    <w:rsid w:val="00922C48"/>
    <w:rsid w:val="00927596"/>
    <w:rsid w:val="009E63E1"/>
    <w:rsid w:val="00A67BDA"/>
    <w:rsid w:val="00B03EAC"/>
    <w:rsid w:val="00B915B7"/>
    <w:rsid w:val="00BA6189"/>
    <w:rsid w:val="00BC0E30"/>
    <w:rsid w:val="00BF2BFE"/>
    <w:rsid w:val="00C74C6A"/>
    <w:rsid w:val="00C75B19"/>
    <w:rsid w:val="00C7677D"/>
    <w:rsid w:val="00D73DA0"/>
    <w:rsid w:val="00E138CD"/>
    <w:rsid w:val="00E667C5"/>
    <w:rsid w:val="00EA59DF"/>
    <w:rsid w:val="00EB033D"/>
    <w:rsid w:val="00EC5D8B"/>
    <w:rsid w:val="00EE4070"/>
    <w:rsid w:val="00F12C76"/>
    <w:rsid w:val="00F147EB"/>
    <w:rsid w:val="00F62961"/>
    <w:rsid w:val="00F63914"/>
    <w:rsid w:val="00F73D17"/>
    <w:rsid w:val="00F9024D"/>
    <w:rsid w:val="00FA616F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4A5"/>
  <w15:chartTrackingRefBased/>
  <w15:docId w15:val="{089D23AE-42D5-4BC8-B566-9D63AA6D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A0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D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DA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3DA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3D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3D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3D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3D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DA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D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3DA0"/>
    <w:pPr>
      <w:spacing w:after="160" w:line="240" w:lineRule="auto"/>
      <w:ind w:left="720"/>
      <w:contextualSpacing/>
    </w:pPr>
    <w:rPr>
      <w:rFonts w:ascii="Times New Roman" w:hAnsi="Times New Roman"/>
      <w:sz w:val="28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73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DA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3D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3DA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3</cp:revision>
  <dcterms:created xsi:type="dcterms:W3CDTF">2025-11-26T14:37:00Z</dcterms:created>
  <dcterms:modified xsi:type="dcterms:W3CDTF">2025-11-26T14:40:00Z</dcterms:modified>
</cp:coreProperties>
</file>