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905" w:type="dxa"/>
              <w:jc w:val="right"/>
              <w:tblLook w:val="0000"/>
            </w:tblPr>
            <w:tblGrid>
              <w:gridCol w:w="7875"/>
              <w:gridCol w:w="7030"/>
            </w:tblGrid>
            <w:tr w:rsidR="002D0677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650AC0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CF3FEE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CF3FEE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1C0087">
              <w:trPr>
                <w:trHeight w:val="361"/>
                <w:jc w:val="right"/>
              </w:trPr>
              <w:tc>
                <w:tcPr>
                  <w:tcW w:w="7875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30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0</w:t>
            </w:r>
            <w:r w:rsidR="00AF1BC5">
              <w:rPr>
                <w:rFonts w:ascii="Times New Roman" w:hAnsi="Times New Roman" w:cs="Times New Roman"/>
                <w:bCs w:val="0"/>
                <w:sz w:val="28"/>
                <w:szCs w:val="28"/>
              </w:rPr>
              <w:t>4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CF3FEE" w:rsidP="00EC3353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 </w:t>
            </w:r>
            <w:r w:rsidR="00EC3353"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="00EC3353" w:rsidRPr="003F5871">
              <w:rPr>
                <w:b/>
                <w:bCs/>
                <w:u w:val="single"/>
              </w:rPr>
              <w:t xml:space="preserve"> </w:t>
            </w:r>
            <w:r w:rsidR="00EC3353"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AF1BC5">
              <w:rPr>
                <w:b/>
                <w:bCs/>
                <w:u w:val="single"/>
              </w:rPr>
              <w:t>6</w:t>
            </w:r>
            <w:r w:rsidR="00EC3353" w:rsidRPr="005F4FC5">
              <w:rPr>
                <w:b/>
                <w:bCs/>
                <w:u w:val="single"/>
              </w:rPr>
              <w:t xml:space="preserve"> рік»</w:t>
            </w:r>
          </w:p>
          <w:p w:rsidR="006C5A87" w:rsidRPr="006E3D3D" w:rsidRDefault="007518F2" w:rsidP="006C5A87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</w:t>
            </w:r>
            <w:r w:rsidR="00CF3FEE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від 24.12.2025 року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</w:t>
            </w:r>
            <w:r w:rsidR="00AF1BC5" w:rsidRPr="00F30EF5">
              <w:rPr>
                <w:noProof/>
                <w:sz w:val="28"/>
                <w:u w:val="single"/>
              </w:rPr>
              <w:t>№</w:t>
            </w:r>
            <w:r w:rsidR="00AF1BC5">
              <w:rPr>
                <w:noProof/>
                <w:sz w:val="28"/>
                <w:u w:val="single"/>
              </w:rPr>
              <w:t xml:space="preserve"> 5-52/2025</w:t>
            </w:r>
            <w:r w:rsidR="00CF3FEE">
              <w:rPr>
                <w:noProof/>
                <w:sz w:val="28"/>
                <w:u w:val="single"/>
              </w:rPr>
              <w:t xml:space="preserve">, зі змінами внесеними від 13.02.2026 року №30-53/2026; від 31.03.2026 </w:t>
            </w:r>
            <w:r w:rsidR="009153D0">
              <w:rPr>
                <w:noProof/>
                <w:sz w:val="28"/>
                <w:u w:val="single"/>
              </w:rPr>
              <w:t>64-54/2026</w:t>
            </w:r>
          </w:p>
          <w:p w:rsidR="00EA49AD" w:rsidRPr="0007369A" w:rsidRDefault="001837E2" w:rsidP="00AF1BC5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A118E9">
                    <w:rPr>
                      <w:b/>
                      <w:snapToGrid w:val="0"/>
                      <w:u w:val="single"/>
                    </w:rPr>
                    <w:t>6020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A118E9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118E9">
                    <w:rPr>
                      <w:b/>
                      <w:snapToGrid w:val="0"/>
                      <w:u w:val="single"/>
                    </w:rPr>
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AF1BC5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1 869 000,00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AF1BC5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1 869 000,00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AF1BC5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1 869 000,00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AF1BC5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1 869 000,00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AF1BC5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AF1BC5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0,00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181F6C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4E4244" w:rsidRDefault="004E4244" w:rsidP="00BA20B9"/>
    <w:p w:rsidR="00DB6392" w:rsidRDefault="00DB6392" w:rsidP="00BA20B9"/>
    <w:p w:rsidR="00BA6326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DB6392" w:rsidRDefault="00DB6392" w:rsidP="00BA6326"/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651"/>
        <w:gridCol w:w="1499"/>
        <w:gridCol w:w="124"/>
        <w:gridCol w:w="1304"/>
        <w:gridCol w:w="1153"/>
        <w:gridCol w:w="1422"/>
        <w:gridCol w:w="1160"/>
        <w:gridCol w:w="4949"/>
      </w:tblGrid>
      <w:tr w:rsidR="000D6F36" w:rsidRPr="00C13BAD" w:rsidTr="00ED197A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9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94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ED197A">
        <w:trPr>
          <w:cantSplit/>
          <w:trHeight w:val="469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9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94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ED197A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9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55010D" w:rsidRPr="008A4599" w:rsidRDefault="008A4599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499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ED197A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523 000,00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ED197A" w:rsidP="00500605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523 000,00</w:t>
            </w:r>
          </w:p>
        </w:tc>
        <w:tc>
          <w:tcPr>
            <w:tcW w:w="1160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ED197A" w:rsidRDefault="0055010D" w:rsidP="00ED197A">
            <w:pPr>
              <w:rPr>
                <w:bCs/>
                <w:color w:val="FF0000"/>
                <w:sz w:val="22"/>
                <w:szCs w:val="22"/>
                <w:lang w:eastAsia="zh-CN"/>
              </w:rPr>
            </w:pPr>
            <w:r w:rsidRPr="00ED197A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ED197A" w:rsidRPr="00ED197A">
              <w:rPr>
                <w:bCs/>
                <w:sz w:val="20"/>
                <w:szCs w:val="20"/>
                <w:lang w:eastAsia="zh-CN"/>
              </w:rPr>
              <w:t>Погашення заборгованості перед ТОВ ЕНЕРА ЧЕРНІГІВ 523 000,00грн. (за січень 2026 року)</w:t>
            </w: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55010D" w:rsidRPr="00E6130B" w:rsidRDefault="0055010D" w:rsidP="00E6130B">
            <w:pPr>
              <w:pStyle w:val="ad"/>
              <w:tabs>
                <w:tab w:val="left" w:pos="284"/>
              </w:tabs>
              <w:ind w:left="0"/>
              <w:rPr>
                <w:lang w:val="uk-UA" w:eastAsia="uk-UA"/>
              </w:rPr>
            </w:pPr>
            <w:r w:rsidRPr="00E6130B">
              <w:rPr>
                <w:bCs/>
                <w:lang w:val="uk-UA"/>
              </w:rPr>
              <w:t>Наданням безповоротної фінансової допомоги на сплату податків та зборів до місцевого , обласного та державного бюджетів за рахунок коштів загального фонду</w:t>
            </w:r>
          </w:p>
        </w:tc>
        <w:tc>
          <w:tcPr>
            <w:tcW w:w="1499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ED197A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546</w:t>
            </w:r>
            <w:r w:rsidR="00500605">
              <w:rPr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ED197A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546</w:t>
            </w:r>
            <w:r w:rsidR="008264BD">
              <w:rPr>
                <w:rStyle w:val="spelle"/>
                <w:snapToGrid w:val="0"/>
              </w:rPr>
              <w:t xml:space="preserve"> 000,00</w:t>
            </w:r>
          </w:p>
        </w:tc>
        <w:tc>
          <w:tcPr>
            <w:tcW w:w="1160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61DAC" w:rsidRPr="00ED197A" w:rsidRDefault="00ED197A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ED197A">
              <w:rPr>
                <w:bCs/>
                <w:sz w:val="20"/>
                <w:szCs w:val="20"/>
                <w:lang w:eastAsia="zh-CN"/>
              </w:rPr>
              <w:t>Податок з доходів фізичних осіб - 546 000,00грн. ( за</w:t>
            </w:r>
            <w:r w:rsidR="00A3694B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ED197A">
              <w:rPr>
                <w:bCs/>
                <w:sz w:val="20"/>
                <w:szCs w:val="20"/>
                <w:lang w:eastAsia="zh-CN"/>
              </w:rPr>
              <w:t xml:space="preserve">січень 2026  року);             </w:t>
            </w:r>
          </w:p>
          <w:p w:rsidR="0055010D" w:rsidRPr="00ED197A" w:rsidRDefault="00500605" w:rsidP="00500605">
            <w:pPr>
              <w:rPr>
                <w:snapToGrid w:val="0"/>
                <w:color w:val="FF0000"/>
                <w:sz w:val="22"/>
                <w:szCs w:val="22"/>
              </w:rPr>
            </w:pPr>
            <w:r w:rsidRPr="00ED197A">
              <w:rPr>
                <w:bCs/>
                <w:sz w:val="20"/>
                <w:szCs w:val="20"/>
                <w:lang w:eastAsia="zh-CN"/>
              </w:rPr>
              <w:t xml:space="preserve">                   </w:t>
            </w: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55010D" w:rsidRPr="0090151A" w:rsidRDefault="0055010D" w:rsidP="00E6130B">
            <w:pPr>
              <w:pStyle w:val="ad"/>
              <w:tabs>
                <w:tab w:val="left" w:pos="284"/>
              </w:tabs>
              <w:ind w:left="0"/>
              <w:rPr>
                <w:b/>
                <w:bCs/>
                <w:lang w:val="uk-UA"/>
              </w:rPr>
            </w:pPr>
            <w:r w:rsidRPr="0090151A">
              <w:rPr>
                <w:b/>
                <w:bCs/>
                <w:lang w:val="uk-UA"/>
              </w:rPr>
              <w:t>Всього по КП СЕЗ</w:t>
            </w:r>
          </w:p>
        </w:tc>
        <w:tc>
          <w:tcPr>
            <w:tcW w:w="1499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ED197A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sz w:val="24"/>
                <w:szCs w:val="24"/>
                <w:u w:val="single"/>
                <w:lang w:eastAsia="uk-UA"/>
              </w:rPr>
              <w:t>1 069 000,00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ED197A" w:rsidP="00CC53D4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1 069 000</w:t>
            </w:r>
            <w:r w:rsidR="00500605">
              <w:rPr>
                <w:rStyle w:val="spelle"/>
                <w:b/>
                <w:snapToGrid w:val="0"/>
                <w:u w:val="single"/>
              </w:rPr>
              <w:t>,00</w:t>
            </w:r>
          </w:p>
        </w:tc>
        <w:tc>
          <w:tcPr>
            <w:tcW w:w="1160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6C57F4" w:rsidRDefault="0055010D" w:rsidP="00EA49AD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25351E" w:rsidRDefault="00ED197A" w:rsidP="00EA49AD">
            <w:pPr>
              <w:jc w:val="center"/>
              <w:rPr>
                <w:bCs/>
              </w:rPr>
            </w:pPr>
            <w:r w:rsidRPr="00ED197A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 (забезпечення своєчасних розрахунків з бюджетом)</w:t>
            </w:r>
          </w:p>
        </w:tc>
        <w:tc>
          <w:tcPr>
            <w:tcW w:w="1499" w:type="dxa"/>
            <w:vAlign w:val="center"/>
          </w:tcPr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КП ВУКГ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1F69A5" w:rsidRDefault="001C0087" w:rsidP="00F610E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ED197A">
              <w:rPr>
                <w:sz w:val="24"/>
                <w:szCs w:val="24"/>
              </w:rPr>
              <w:t> 000,</w:t>
            </w:r>
            <w:r w:rsidR="00FE3D91">
              <w:rPr>
                <w:sz w:val="24"/>
                <w:szCs w:val="24"/>
              </w:rPr>
              <w:t>00</w:t>
            </w:r>
          </w:p>
        </w:tc>
        <w:tc>
          <w:tcPr>
            <w:tcW w:w="1153" w:type="dxa"/>
            <w:vAlign w:val="center"/>
          </w:tcPr>
          <w:p w:rsidR="0055010D" w:rsidRPr="001F69A5" w:rsidRDefault="0055010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1F69A5" w:rsidRDefault="001C0087" w:rsidP="00F610EF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800</w:t>
            </w:r>
            <w:r w:rsidR="00FE3D91">
              <w:rPr>
                <w:rStyle w:val="spelle"/>
                <w:snapToGrid w:val="0"/>
              </w:rPr>
              <w:t xml:space="preserve"> </w:t>
            </w:r>
            <w:r w:rsidR="00181F6C">
              <w:rPr>
                <w:rStyle w:val="spelle"/>
                <w:snapToGrid w:val="0"/>
              </w:rPr>
              <w:t>000,00</w:t>
            </w:r>
          </w:p>
        </w:tc>
        <w:tc>
          <w:tcPr>
            <w:tcW w:w="1160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6C57F4" w:rsidRDefault="00ED197A" w:rsidP="00EA49AD">
            <w:pPr>
              <w:rPr>
                <w:snapToGrid w:val="0"/>
                <w:sz w:val="22"/>
                <w:szCs w:val="22"/>
              </w:rPr>
            </w:pPr>
            <w:r w:rsidRPr="00ED197A">
              <w:rPr>
                <w:snapToGrid w:val="0"/>
                <w:sz w:val="22"/>
                <w:szCs w:val="22"/>
              </w:rPr>
              <w:t xml:space="preserve">За рахунок виділених коштів КП "ВУКГ" було сплачено податок на доходи фізичних осіб за січень 2026 року. Надання </w:t>
            </w:r>
            <w:proofErr w:type="spellStart"/>
            <w:r w:rsidRPr="00ED197A">
              <w:rPr>
                <w:snapToGrid w:val="0"/>
                <w:sz w:val="22"/>
                <w:szCs w:val="22"/>
              </w:rPr>
              <w:t>безповороної</w:t>
            </w:r>
            <w:proofErr w:type="spellEnd"/>
            <w:r w:rsidRPr="00ED197A">
              <w:rPr>
                <w:snapToGrid w:val="0"/>
                <w:sz w:val="22"/>
                <w:szCs w:val="22"/>
              </w:rPr>
              <w:t xml:space="preserve"> фінансової допомоги надало можливість підприємству своєчасно розрахувалося за податковими зобов’язаннями та стабілізувати роботу підприємства</w:t>
            </w:r>
          </w:p>
        </w:tc>
      </w:tr>
      <w:tr w:rsidR="008264BD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8264BD" w:rsidRDefault="008264BD" w:rsidP="00A84D61">
            <w:pPr>
              <w:jc w:val="center"/>
              <w:rPr>
                <w:bCs/>
              </w:rPr>
            </w:pPr>
            <w:r w:rsidRPr="0090151A">
              <w:rPr>
                <w:b/>
                <w:bCs/>
              </w:rPr>
              <w:t xml:space="preserve">Всього по КП </w:t>
            </w:r>
            <w:r>
              <w:rPr>
                <w:b/>
                <w:bCs/>
              </w:rPr>
              <w:t>ВУКГ</w:t>
            </w:r>
          </w:p>
        </w:tc>
        <w:tc>
          <w:tcPr>
            <w:tcW w:w="1499" w:type="dxa"/>
            <w:vAlign w:val="center"/>
          </w:tcPr>
          <w:p w:rsidR="008264BD" w:rsidRDefault="008264BD" w:rsidP="00A84D6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264BD" w:rsidRPr="0055010D" w:rsidRDefault="001C0087" w:rsidP="00A84D61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8</w:t>
            </w:r>
            <w:r w:rsidR="00ED197A">
              <w:rPr>
                <w:b/>
                <w:sz w:val="24"/>
                <w:szCs w:val="24"/>
                <w:u w:val="single"/>
                <w:lang w:val="ru-RU"/>
              </w:rPr>
              <w:t>00 000,00</w:t>
            </w:r>
          </w:p>
        </w:tc>
        <w:tc>
          <w:tcPr>
            <w:tcW w:w="1153" w:type="dxa"/>
            <w:vAlign w:val="center"/>
          </w:tcPr>
          <w:p w:rsidR="008264BD" w:rsidRPr="0055010D" w:rsidRDefault="008264BD" w:rsidP="00A84D61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55010D" w:rsidRDefault="001C0087" w:rsidP="00A84D61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8</w:t>
            </w:r>
            <w:r w:rsidR="00ED197A">
              <w:rPr>
                <w:rStyle w:val="spelle"/>
                <w:b/>
                <w:snapToGrid w:val="0"/>
                <w:u w:val="single"/>
              </w:rPr>
              <w:t>00 000,00</w:t>
            </w:r>
          </w:p>
        </w:tc>
        <w:tc>
          <w:tcPr>
            <w:tcW w:w="1160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8264B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</w:p>
        </w:tc>
      </w:tr>
      <w:tr w:rsidR="00E864D0" w:rsidRPr="00381793" w:rsidTr="00ED197A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E864D0" w:rsidRDefault="00E864D0" w:rsidP="00EA49AD">
            <w:pPr>
              <w:pStyle w:val="ab"/>
              <w:rPr>
                <w:snapToGrid w:val="0"/>
              </w:rPr>
            </w:pPr>
          </w:p>
        </w:tc>
        <w:tc>
          <w:tcPr>
            <w:tcW w:w="2651" w:type="dxa"/>
            <w:vAlign w:val="center"/>
          </w:tcPr>
          <w:p w:rsidR="00E864D0" w:rsidRDefault="00E864D0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499" w:type="dxa"/>
            <w:vAlign w:val="center"/>
          </w:tcPr>
          <w:p w:rsidR="00E864D0" w:rsidRDefault="00E864D0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E864D0" w:rsidRPr="00E864D0" w:rsidRDefault="00ED197A" w:rsidP="00481DCB">
            <w:pPr>
              <w:pStyle w:val="2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>
              <w:rPr>
                <w:b/>
                <w:i/>
                <w:sz w:val="24"/>
                <w:szCs w:val="24"/>
                <w:u w:val="single"/>
                <w:lang w:val="ru-RU"/>
              </w:rPr>
              <w:t>1 869 000,00</w:t>
            </w:r>
          </w:p>
        </w:tc>
        <w:tc>
          <w:tcPr>
            <w:tcW w:w="1153" w:type="dxa"/>
            <w:vAlign w:val="center"/>
          </w:tcPr>
          <w:p w:rsidR="00E864D0" w:rsidRPr="00E864D0" w:rsidRDefault="00E864D0" w:rsidP="00481DCB">
            <w:pPr>
              <w:jc w:val="center"/>
              <w:rPr>
                <w:rStyle w:val="grame"/>
                <w:b/>
                <w:i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E864D0" w:rsidRPr="00E864D0" w:rsidRDefault="00ED197A" w:rsidP="00481DCB">
            <w:pPr>
              <w:jc w:val="center"/>
              <w:rPr>
                <w:rStyle w:val="spelle"/>
                <w:b/>
                <w:i/>
                <w:snapToGrid w:val="0"/>
                <w:u w:val="single"/>
              </w:rPr>
            </w:pPr>
            <w:r>
              <w:rPr>
                <w:rStyle w:val="spelle"/>
                <w:b/>
                <w:i/>
                <w:snapToGrid w:val="0"/>
                <w:u w:val="single"/>
              </w:rPr>
              <w:t>1 869 000,00</w:t>
            </w:r>
          </w:p>
        </w:tc>
        <w:tc>
          <w:tcPr>
            <w:tcW w:w="1160" w:type="dxa"/>
            <w:vAlign w:val="center"/>
          </w:tcPr>
          <w:p w:rsidR="00E864D0" w:rsidRPr="00D83C5C" w:rsidRDefault="00E864D0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E864D0" w:rsidRPr="00381793" w:rsidRDefault="00E864D0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Default="00B62287" w:rsidP="00B62287"/>
    <w:p w:rsidR="00ED197A" w:rsidRPr="00E74BE6" w:rsidRDefault="00ED197A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782C2A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A3694B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C964B3">
              <w:rPr>
                <w:b/>
              </w:rPr>
              <w:t>____Світлана СІРЕНКО____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98600A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47D" w:rsidRDefault="00D2647D" w:rsidP="001C199B">
      <w:r>
        <w:separator/>
      </w:r>
    </w:p>
  </w:endnote>
  <w:endnote w:type="continuationSeparator" w:id="0">
    <w:p w:rsidR="00D2647D" w:rsidRDefault="00D2647D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EC02BD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EC02BD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98600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47D" w:rsidRDefault="00D2647D" w:rsidP="001C199B">
      <w:r>
        <w:separator/>
      </w:r>
    </w:p>
  </w:footnote>
  <w:footnote w:type="continuationSeparator" w:id="0">
    <w:p w:rsidR="00D2647D" w:rsidRDefault="00D2647D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1E32"/>
    <w:rsid w:val="001427F9"/>
    <w:rsid w:val="00143E2D"/>
    <w:rsid w:val="00147005"/>
    <w:rsid w:val="00154095"/>
    <w:rsid w:val="001650C9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0087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2E1D"/>
    <w:rsid w:val="00207CE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061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1DAC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57BFA"/>
    <w:rsid w:val="00467432"/>
    <w:rsid w:val="00471894"/>
    <w:rsid w:val="00474F7B"/>
    <w:rsid w:val="0047570B"/>
    <w:rsid w:val="00476D3F"/>
    <w:rsid w:val="00490418"/>
    <w:rsid w:val="00491992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E47AF"/>
    <w:rsid w:val="004F6CB2"/>
    <w:rsid w:val="004F77CF"/>
    <w:rsid w:val="00500605"/>
    <w:rsid w:val="005036ED"/>
    <w:rsid w:val="0050570C"/>
    <w:rsid w:val="00510813"/>
    <w:rsid w:val="00521E1C"/>
    <w:rsid w:val="0052341C"/>
    <w:rsid w:val="00523B68"/>
    <w:rsid w:val="00533CA3"/>
    <w:rsid w:val="0055010D"/>
    <w:rsid w:val="005516FA"/>
    <w:rsid w:val="005559CC"/>
    <w:rsid w:val="005623C0"/>
    <w:rsid w:val="00571D5C"/>
    <w:rsid w:val="005756CF"/>
    <w:rsid w:val="00587694"/>
    <w:rsid w:val="00592E12"/>
    <w:rsid w:val="005B2E9D"/>
    <w:rsid w:val="005B3790"/>
    <w:rsid w:val="005C610F"/>
    <w:rsid w:val="005D0293"/>
    <w:rsid w:val="005D267A"/>
    <w:rsid w:val="005D300E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C5A87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0C29"/>
    <w:rsid w:val="00763365"/>
    <w:rsid w:val="00764666"/>
    <w:rsid w:val="00765AFE"/>
    <w:rsid w:val="00773D30"/>
    <w:rsid w:val="00776F6E"/>
    <w:rsid w:val="007776BF"/>
    <w:rsid w:val="0078085A"/>
    <w:rsid w:val="00782C2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286A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153D0"/>
    <w:rsid w:val="0092406F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600A"/>
    <w:rsid w:val="009876CE"/>
    <w:rsid w:val="00991CBE"/>
    <w:rsid w:val="00994C0F"/>
    <w:rsid w:val="00994CDA"/>
    <w:rsid w:val="0099530F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694B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1BC5"/>
    <w:rsid w:val="00AF3727"/>
    <w:rsid w:val="00AF467D"/>
    <w:rsid w:val="00B1363F"/>
    <w:rsid w:val="00B2315F"/>
    <w:rsid w:val="00B236AD"/>
    <w:rsid w:val="00B24D80"/>
    <w:rsid w:val="00B27B90"/>
    <w:rsid w:val="00B34738"/>
    <w:rsid w:val="00B35B5D"/>
    <w:rsid w:val="00B40209"/>
    <w:rsid w:val="00B544AA"/>
    <w:rsid w:val="00B62287"/>
    <w:rsid w:val="00B67010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3594"/>
    <w:rsid w:val="00BB6659"/>
    <w:rsid w:val="00BC1D16"/>
    <w:rsid w:val="00BC3224"/>
    <w:rsid w:val="00BC5F6A"/>
    <w:rsid w:val="00BC75FD"/>
    <w:rsid w:val="00BD281E"/>
    <w:rsid w:val="00BD6E2D"/>
    <w:rsid w:val="00BE0093"/>
    <w:rsid w:val="00BE3817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FD"/>
    <w:rsid w:val="00CE693F"/>
    <w:rsid w:val="00CF1AD6"/>
    <w:rsid w:val="00CF3FEE"/>
    <w:rsid w:val="00CF5D6C"/>
    <w:rsid w:val="00CF6A96"/>
    <w:rsid w:val="00D05FB6"/>
    <w:rsid w:val="00D10092"/>
    <w:rsid w:val="00D122D6"/>
    <w:rsid w:val="00D15DC7"/>
    <w:rsid w:val="00D2647D"/>
    <w:rsid w:val="00D271FF"/>
    <w:rsid w:val="00D34B54"/>
    <w:rsid w:val="00D438C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6392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864D0"/>
    <w:rsid w:val="00E94236"/>
    <w:rsid w:val="00E95DB7"/>
    <w:rsid w:val="00EA49AD"/>
    <w:rsid w:val="00EA62EF"/>
    <w:rsid w:val="00EB60B1"/>
    <w:rsid w:val="00EB76ED"/>
    <w:rsid w:val="00EC02BD"/>
    <w:rsid w:val="00EC3353"/>
    <w:rsid w:val="00ED166F"/>
    <w:rsid w:val="00ED197A"/>
    <w:rsid w:val="00ED5CF6"/>
    <w:rsid w:val="00ED787A"/>
    <w:rsid w:val="00EE2E76"/>
    <w:rsid w:val="00EE69B6"/>
    <w:rsid w:val="00F0046A"/>
    <w:rsid w:val="00F061E5"/>
    <w:rsid w:val="00F11F91"/>
    <w:rsid w:val="00F21BD6"/>
    <w:rsid w:val="00F3773C"/>
    <w:rsid w:val="00F4673A"/>
    <w:rsid w:val="00F513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3D91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368F-AA2A-4E25-837C-42F222C1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94</cp:revision>
  <cp:lastPrinted>2026-01-08T13:12:00Z</cp:lastPrinted>
  <dcterms:created xsi:type="dcterms:W3CDTF">2022-04-06T06:35:00Z</dcterms:created>
  <dcterms:modified xsi:type="dcterms:W3CDTF">2026-04-06T13:41:00Z</dcterms:modified>
</cp:coreProperties>
</file>